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B059C" w14:textId="285441A0" w:rsidR="005108CE" w:rsidRPr="008C39F7" w:rsidRDefault="005108CE" w:rsidP="005108C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EE422F">
        <w:rPr>
          <w:rFonts w:ascii="Arial" w:eastAsia="SimSun" w:hAnsi="Arial" w:cs="Arial"/>
          <w:b/>
          <w:sz w:val="24"/>
          <w:szCs w:val="24"/>
        </w:rPr>
        <w:t>3GPP TSG-RAN WG4 Meeting #10</w:t>
      </w:r>
      <w:r>
        <w:rPr>
          <w:rFonts w:ascii="Arial" w:eastAsia="SimSun" w:hAnsi="Arial" w:cs="Arial"/>
          <w:b/>
          <w:sz w:val="24"/>
          <w:szCs w:val="24"/>
        </w:rPr>
        <w:t>9</w:t>
      </w:r>
      <w:r w:rsidRPr="00EE422F">
        <w:rPr>
          <w:rFonts w:ascii="Arial" w:eastAsia="SimSun" w:hAnsi="Arial" w:cs="Arial"/>
          <w:b/>
          <w:sz w:val="24"/>
          <w:szCs w:val="24"/>
        </w:rPr>
        <w:t xml:space="preserve"> </w:t>
      </w:r>
      <w:r w:rsidRPr="00EE422F">
        <w:rPr>
          <w:rFonts w:ascii="Arial" w:eastAsia="SimSun" w:hAnsi="Arial" w:cs="Arial"/>
          <w:b/>
          <w:sz w:val="24"/>
          <w:szCs w:val="24"/>
        </w:rPr>
        <w:tab/>
      </w:r>
      <w:r w:rsidR="002C047E" w:rsidRPr="002C047E">
        <w:rPr>
          <w:rFonts w:ascii="Arial" w:eastAsia="SimSun" w:hAnsi="Arial" w:cs="Arial"/>
          <w:b/>
          <w:sz w:val="24"/>
          <w:szCs w:val="24"/>
        </w:rPr>
        <w:t>R4-2319283</w:t>
      </w:r>
    </w:p>
    <w:p w14:paraId="40731D46" w14:textId="77777777" w:rsidR="005108CE" w:rsidRPr="008C39F7" w:rsidRDefault="005108CE" w:rsidP="005108C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Chicago</w:t>
      </w:r>
      <w:r w:rsidRPr="008C39F7">
        <w:rPr>
          <w:rFonts w:ascii="Arial" w:eastAsia="SimSun" w:hAnsi="Arial" w:cs="Times New Roman"/>
          <w:b/>
          <w:sz w:val="24"/>
          <w:szCs w:val="20"/>
        </w:rPr>
        <w:t xml:space="preserve">, </w:t>
      </w:r>
      <w:r>
        <w:rPr>
          <w:rFonts w:ascii="Arial" w:eastAsia="SimSun" w:hAnsi="Arial" w:cs="Times New Roman"/>
          <w:b/>
          <w:sz w:val="24"/>
          <w:szCs w:val="20"/>
        </w:rPr>
        <w:t>US, November</w:t>
      </w:r>
      <w:r w:rsidRPr="008C39F7">
        <w:rPr>
          <w:rFonts w:ascii="Arial" w:eastAsia="SimSun" w:hAnsi="Arial" w:cs="Times New Roman"/>
          <w:b/>
          <w:sz w:val="24"/>
          <w:szCs w:val="20"/>
        </w:rPr>
        <w:t xml:space="preserve"> </w:t>
      </w:r>
      <w:r>
        <w:rPr>
          <w:rFonts w:ascii="Arial" w:eastAsia="SimSun" w:hAnsi="Arial" w:cs="Times New Roman"/>
          <w:b/>
          <w:sz w:val="24"/>
          <w:szCs w:val="20"/>
        </w:rPr>
        <w:t>13</w:t>
      </w:r>
      <w:r w:rsidRPr="008C39F7">
        <w:rPr>
          <w:rFonts w:ascii="Arial" w:eastAsia="SimSun" w:hAnsi="Arial" w:cs="Times New Roman"/>
          <w:b/>
          <w:sz w:val="24"/>
          <w:szCs w:val="20"/>
        </w:rPr>
        <w:t xml:space="preserve"> – </w:t>
      </w:r>
      <w:r>
        <w:rPr>
          <w:rFonts w:ascii="Arial" w:eastAsia="SimSun" w:hAnsi="Arial" w:cs="Times New Roman"/>
          <w:b/>
          <w:sz w:val="24"/>
          <w:szCs w:val="20"/>
        </w:rPr>
        <w:t>17</w:t>
      </w:r>
      <w:r w:rsidRPr="008C39F7">
        <w:rPr>
          <w:rFonts w:ascii="Arial" w:eastAsia="SimSun" w:hAnsi="Arial" w:cs="Times New Roman"/>
          <w:b/>
          <w:sz w:val="24"/>
          <w:szCs w:val="20"/>
        </w:rPr>
        <w:t>, 2023</w:t>
      </w:r>
    </w:p>
    <w:p w14:paraId="176B178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2736E3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21570BD8" w14:textId="0488735C" w:rsidR="00841BCD" w:rsidRPr="008C39F7" w:rsidRDefault="00841BCD" w:rsidP="00841BCD">
      <w:pPr>
        <w:ind w:left="1985" w:hanging="1985"/>
        <w:rPr>
          <w:rFonts w:ascii="Arial" w:eastAsia="Calibri" w:hAnsi="Arial" w:cs="Arial"/>
          <w:b/>
          <w:bCs/>
          <w:sz w:val="24"/>
        </w:rPr>
      </w:pPr>
      <w:r w:rsidRPr="007220CC">
        <w:rPr>
          <w:rFonts w:ascii="Arial" w:eastAsia="Calibri" w:hAnsi="Arial" w:cs="Arial"/>
          <w:b/>
          <w:bCs/>
          <w:sz w:val="24"/>
        </w:rPr>
        <w:t>Title:</w:t>
      </w:r>
      <w:r w:rsidRPr="007220CC">
        <w:rPr>
          <w:rFonts w:ascii="Arial" w:eastAsia="Calibri" w:hAnsi="Arial" w:cs="Arial"/>
          <w:b/>
          <w:bCs/>
          <w:sz w:val="24"/>
        </w:rPr>
        <w:tab/>
      </w:r>
      <w:r w:rsidR="002424C7" w:rsidRPr="002424C7">
        <w:rPr>
          <w:rFonts w:ascii="Arial" w:eastAsia="Calibri" w:hAnsi="Arial" w:cs="Arial"/>
          <w:b/>
          <w:bCs/>
          <w:sz w:val="24"/>
        </w:rPr>
        <w:t>On LTM cell switch delay</w:t>
      </w:r>
    </w:p>
    <w:p w14:paraId="236E203C" w14:textId="6139B1AB"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05135C" w:rsidRPr="0005135C">
        <w:rPr>
          <w:rFonts w:ascii="Arial" w:eastAsia="MS Mincho" w:hAnsi="Arial" w:cs="Arial"/>
          <w:b/>
          <w:bCs/>
          <w:sz w:val="24"/>
          <w:szCs w:val="20"/>
        </w:rPr>
        <w:t>8.24.2.1.3</w:t>
      </w:r>
    </w:p>
    <w:p w14:paraId="52D7623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2BDF5EE0" w14:textId="77777777" w:rsidR="00E323E9" w:rsidRPr="008C39F7" w:rsidRDefault="00E323E9" w:rsidP="00841BCD">
      <w:pPr>
        <w:tabs>
          <w:tab w:val="left" w:pos="1985"/>
        </w:tabs>
        <w:rPr>
          <w:rFonts w:ascii="Arial" w:eastAsia="Calibri" w:hAnsi="Arial" w:cs="Arial"/>
          <w:b/>
          <w:bCs/>
          <w:sz w:val="24"/>
        </w:rPr>
      </w:pPr>
    </w:p>
    <w:p w14:paraId="33478620" w14:textId="76E23284" w:rsidR="00841BCD" w:rsidRDefault="00841BCD" w:rsidP="00CC3077">
      <w:pPr>
        <w:pStyle w:val="RAN4H1"/>
      </w:pPr>
      <w:bookmarkStart w:id="0" w:name="_Toc116995841"/>
      <w:r w:rsidRPr="008C39F7">
        <w:t>Intro</w:t>
      </w:r>
      <w:r w:rsidRPr="008C39F7">
        <w:rPr>
          <w:rStyle w:val="RAN4H1Char"/>
        </w:rPr>
        <w:t>ductio</w:t>
      </w:r>
      <w:r w:rsidRPr="008C39F7">
        <w:t>n</w:t>
      </w:r>
      <w:bookmarkEnd w:id="0"/>
    </w:p>
    <w:p w14:paraId="31A4CC30" w14:textId="3743F3BA" w:rsidR="00307B78" w:rsidRDefault="007220CC" w:rsidP="005108CE">
      <w:r w:rsidRPr="007220CC">
        <w:t xml:space="preserve">In this contribution we discuss the </w:t>
      </w:r>
      <w:r w:rsidR="0085485A">
        <w:t xml:space="preserve">remaining </w:t>
      </w:r>
      <w:r w:rsidRPr="007220CC">
        <w:t>details of LTM cell switch delay</w:t>
      </w:r>
      <w:r w:rsidR="005108CE">
        <w:t>.</w:t>
      </w:r>
      <w:r w:rsidR="000830B1">
        <w:t xml:space="preserve"> The discussion is based on </w:t>
      </w:r>
      <w:r w:rsidR="00025AA7">
        <w:t xml:space="preserve">the </w:t>
      </w:r>
      <w:r w:rsidR="00025AA7">
        <w:rPr>
          <w:lang w:val="en-GB"/>
        </w:rPr>
        <w:t>RAN4#108bis way forward for part 1 [1].</w:t>
      </w:r>
    </w:p>
    <w:p w14:paraId="7AF53941" w14:textId="16B4074B" w:rsidR="005108CE" w:rsidRDefault="005108CE" w:rsidP="005108CE">
      <w:pPr>
        <w:pStyle w:val="RAN4H1"/>
      </w:pPr>
      <w:r>
        <w:t>Scenarios</w:t>
      </w:r>
    </w:p>
    <w:p w14:paraId="74DA0711" w14:textId="21E1794D" w:rsidR="005108CE" w:rsidRDefault="005108CE" w:rsidP="005108CE">
      <w:pPr>
        <w:pStyle w:val="RAN4H2"/>
      </w:pPr>
      <w:r>
        <w:t>PSCell switch</w:t>
      </w:r>
    </w:p>
    <w:tbl>
      <w:tblPr>
        <w:tblStyle w:val="TableGrid"/>
        <w:tblW w:w="0" w:type="auto"/>
        <w:tblLook w:val="04A0" w:firstRow="1" w:lastRow="0" w:firstColumn="1" w:lastColumn="0" w:noHBand="0" w:noVBand="1"/>
      </w:tblPr>
      <w:tblGrid>
        <w:gridCol w:w="9617"/>
      </w:tblGrid>
      <w:tr w:rsidR="005108CE" w14:paraId="38DAB433" w14:textId="77777777" w:rsidTr="005108CE">
        <w:tc>
          <w:tcPr>
            <w:tcW w:w="9617" w:type="dxa"/>
          </w:tcPr>
          <w:p w14:paraId="393FE178" w14:textId="77777777" w:rsidR="005108CE" w:rsidRPr="005108CE" w:rsidRDefault="005108CE" w:rsidP="005108CE">
            <w:pPr>
              <w:spacing w:after="120"/>
              <w:jc w:val="left"/>
              <w:rPr>
                <w:rFonts w:ascii="Calibri" w:eastAsia="Times New Roman" w:hAnsi="Calibri" w:cs="Calibri"/>
                <w:sz w:val="22"/>
              </w:rPr>
            </w:pPr>
            <w:r w:rsidRPr="005108CE">
              <w:rPr>
                <w:rFonts w:ascii="Calibri" w:eastAsia="Times New Roman" w:hAnsi="Calibri" w:cs="Calibri"/>
                <w:b/>
                <w:bCs/>
                <w:sz w:val="22"/>
                <w:u w:val="single"/>
              </w:rPr>
              <w:t>Issue 3-1-1: Whether to specify cell switch delay requirements for PSCell switch</w:t>
            </w:r>
          </w:p>
          <w:p w14:paraId="62B9835F" w14:textId="77777777" w:rsidR="005108CE" w:rsidRPr="005108CE" w:rsidRDefault="005108CE" w:rsidP="005108CE">
            <w:pPr>
              <w:spacing w:after="120"/>
              <w:jc w:val="left"/>
              <w:rPr>
                <w:rFonts w:ascii="Calibri" w:eastAsia="Times New Roman" w:hAnsi="Calibri" w:cs="Calibri"/>
                <w:sz w:val="22"/>
              </w:rPr>
            </w:pPr>
            <w:r w:rsidRPr="005108CE">
              <w:rPr>
                <w:rFonts w:ascii="Calibri" w:eastAsia="Times New Roman" w:hAnsi="Calibri" w:cs="Calibri"/>
                <w:sz w:val="22"/>
                <w:highlight w:val="green"/>
              </w:rPr>
              <w:t>&lt;</w:t>
            </w:r>
            <w:r w:rsidRPr="005108CE">
              <w:rPr>
                <w:rFonts w:ascii="Calibri" w:eastAsia="Times New Roman" w:hAnsi="Calibri" w:cs="Calibri"/>
                <w:b/>
                <w:bCs/>
                <w:sz w:val="22"/>
                <w:highlight w:val="green"/>
              </w:rPr>
              <w:t xml:space="preserve"> Agreement</w:t>
            </w:r>
            <w:r w:rsidRPr="005108CE">
              <w:rPr>
                <w:rFonts w:ascii="Calibri" w:eastAsia="Times New Roman" w:hAnsi="Calibri" w:cs="Calibri"/>
                <w:sz w:val="22"/>
                <w:highlight w:val="green"/>
              </w:rPr>
              <w:t>&gt;:</w:t>
            </w:r>
          </w:p>
          <w:p w14:paraId="01F1B7FF" w14:textId="77777777" w:rsidR="005108CE" w:rsidRPr="005108CE" w:rsidRDefault="005108CE" w:rsidP="0005135C">
            <w:pPr>
              <w:numPr>
                <w:ilvl w:val="0"/>
                <w:numId w:val="14"/>
              </w:numPr>
              <w:spacing w:after="120"/>
              <w:jc w:val="left"/>
              <w:textAlignment w:val="center"/>
              <w:rPr>
                <w:rFonts w:ascii="Calibri" w:eastAsia="Times New Roman" w:hAnsi="Calibri" w:cs="Calibri"/>
                <w:sz w:val="22"/>
              </w:rPr>
            </w:pPr>
            <w:r w:rsidRPr="005108CE">
              <w:rPr>
                <w:rFonts w:ascii="Calibri" w:eastAsia="Times New Roman" w:hAnsi="Calibri" w:cs="Calibri"/>
                <w:sz w:val="22"/>
                <w:highlight w:val="green"/>
              </w:rPr>
              <w:t>Specify cell switch delay requirements for PSCell switch.</w:t>
            </w:r>
          </w:p>
          <w:p w14:paraId="4D43B099" w14:textId="77777777" w:rsidR="005108CE" w:rsidRDefault="005108CE" w:rsidP="005108CE"/>
        </w:tc>
      </w:tr>
    </w:tbl>
    <w:p w14:paraId="68679D1F" w14:textId="77777777" w:rsidR="005108CE" w:rsidRDefault="005108CE" w:rsidP="005108CE"/>
    <w:p w14:paraId="036EF184" w14:textId="2F122CB0" w:rsidR="00B44F2D" w:rsidRDefault="00B44F2D" w:rsidP="005108CE">
      <w:r>
        <w:t>RAN4 agreed that the requirements for PCell and PSCell LTM cell switch shall be defined in Rel-18</w:t>
      </w:r>
      <w:r w:rsidR="00986F1F">
        <w:t xml:space="preserve">, but </w:t>
      </w:r>
      <w:r>
        <w:t>RAN4 has not discussed whether there is a difference in the cell switch delay when PCell or PSCell is in question and how to define the requirements for different cells.</w:t>
      </w:r>
    </w:p>
    <w:p w14:paraId="416D8177" w14:textId="77777777" w:rsidR="00CB70A7" w:rsidRDefault="00C30766" w:rsidP="005108CE">
      <w:r>
        <w:t xml:space="preserve">The procedure for cell switch is similar for both PCell and PSCell, so in our view the same delay requirements can be used. The applicability of the scenarios just needs to be defined </w:t>
      </w:r>
      <w:r w:rsidR="00CB70A7">
        <w:t>for each cell. For PSCell, the scenarios that are supported are:</w:t>
      </w:r>
    </w:p>
    <w:p w14:paraId="2E727C5B" w14:textId="7B6346DD" w:rsidR="008D3F5B" w:rsidRDefault="00CB70A7" w:rsidP="005A5DF5">
      <w:pPr>
        <w:ind w:left="720"/>
      </w:pPr>
      <w:r>
        <w:t>PS</w:t>
      </w:r>
      <w:r w:rsidR="008D3F5B">
        <w:t>C</w:t>
      </w:r>
      <w:r>
        <w:t xml:space="preserve">ell switch to a neighbor cell: </w:t>
      </w:r>
    </w:p>
    <w:p w14:paraId="26C30135" w14:textId="168A42BC" w:rsidR="008D3F5B" w:rsidRPr="008D3F5B" w:rsidRDefault="008D3F5B" w:rsidP="005A5DF5">
      <w:pPr>
        <w:spacing w:after="0" w:line="240" w:lineRule="auto"/>
        <w:ind w:left="720"/>
        <w:jc w:val="left"/>
        <w:rPr>
          <w:rFonts w:ascii="Calibri" w:eastAsia="Times New Roman" w:hAnsi="Calibri" w:cs="Calibri"/>
          <w:szCs w:val="20"/>
          <w:lang w:val="en-GB"/>
        </w:rPr>
      </w:pPr>
      <w:r w:rsidRPr="008D3F5B">
        <w:rPr>
          <w:rFonts w:eastAsia="Times New Roman" w:cs="Times New Roman"/>
          <w:szCs w:val="20"/>
          <w:lang w:val="en-GB"/>
        </w:rPr>
        <w:t xml:space="preserve">FR1 PSCell </w:t>
      </w:r>
      <w:r w:rsidRPr="008D3F5B">
        <w:rPr>
          <w:rFonts w:ascii="Wingdings" w:eastAsia="Times New Roman" w:hAnsi="Wingdings" w:cs="Calibri"/>
          <w:szCs w:val="20"/>
          <w:lang w:val="en-GB"/>
        </w:rPr>
        <w:t>à</w:t>
      </w:r>
      <w:r w:rsidR="00E328CE">
        <w:rPr>
          <w:rFonts w:ascii="Wingdings" w:eastAsia="Times New Roman" w:hAnsi="Wingdings" w:cs="Calibri"/>
          <w:szCs w:val="20"/>
          <w:lang w:val="en-GB"/>
        </w:rPr>
        <w:t xml:space="preserve"> </w:t>
      </w:r>
      <w:r w:rsidRPr="008D3F5B">
        <w:rPr>
          <w:rFonts w:eastAsia="Times New Roman" w:cs="Times New Roman"/>
          <w:szCs w:val="20"/>
          <w:lang w:val="en-GB"/>
        </w:rPr>
        <w:t>FR1 cell</w:t>
      </w:r>
    </w:p>
    <w:p w14:paraId="2212270C" w14:textId="77777777" w:rsidR="008D3F5B" w:rsidRPr="008D3F5B" w:rsidRDefault="008D3F5B" w:rsidP="005A5DF5">
      <w:pPr>
        <w:spacing w:after="0" w:line="240" w:lineRule="auto"/>
        <w:ind w:left="720"/>
        <w:jc w:val="left"/>
        <w:rPr>
          <w:rFonts w:ascii="Calibri" w:eastAsia="Times New Roman" w:hAnsi="Calibri" w:cs="Calibri"/>
          <w:szCs w:val="20"/>
          <w:lang w:val="en-GB"/>
        </w:rPr>
      </w:pPr>
      <w:r w:rsidRPr="008D3F5B">
        <w:rPr>
          <w:rFonts w:eastAsia="Times New Roman" w:cs="Times New Roman"/>
          <w:szCs w:val="20"/>
          <w:lang w:val="en-GB"/>
        </w:rPr>
        <w:t xml:space="preserve">FR1 PSCell </w:t>
      </w:r>
      <w:r w:rsidRPr="008D3F5B">
        <w:rPr>
          <w:rFonts w:ascii="Wingdings" w:eastAsia="Times New Roman" w:hAnsi="Wingdings" w:cs="Calibri"/>
          <w:szCs w:val="20"/>
          <w:lang w:val="en-GB"/>
        </w:rPr>
        <w:t xml:space="preserve">à </w:t>
      </w:r>
      <w:r w:rsidRPr="008D3F5B">
        <w:rPr>
          <w:rFonts w:eastAsia="Times New Roman" w:cs="Times New Roman"/>
          <w:szCs w:val="20"/>
          <w:lang w:val="en-GB"/>
        </w:rPr>
        <w:t>FR2 cell</w:t>
      </w:r>
    </w:p>
    <w:p w14:paraId="2D70B434" w14:textId="77777777" w:rsidR="008D3F5B" w:rsidRPr="008D3F5B" w:rsidRDefault="008D3F5B" w:rsidP="005A5DF5">
      <w:pPr>
        <w:spacing w:after="0" w:line="240" w:lineRule="auto"/>
        <w:ind w:left="720"/>
        <w:jc w:val="left"/>
        <w:rPr>
          <w:rFonts w:ascii="Calibri" w:eastAsia="Times New Roman" w:hAnsi="Calibri" w:cs="Calibri"/>
          <w:szCs w:val="20"/>
          <w:lang w:val="en-GB"/>
        </w:rPr>
      </w:pPr>
      <w:r w:rsidRPr="008D3F5B">
        <w:rPr>
          <w:rFonts w:eastAsia="Times New Roman" w:cs="Times New Roman"/>
          <w:szCs w:val="20"/>
          <w:lang w:val="en-GB"/>
        </w:rPr>
        <w:t xml:space="preserve">FR2 PSCell </w:t>
      </w:r>
      <w:r w:rsidRPr="008D3F5B">
        <w:rPr>
          <w:rFonts w:ascii="Wingdings" w:eastAsia="Times New Roman" w:hAnsi="Wingdings" w:cs="Calibri"/>
          <w:szCs w:val="20"/>
          <w:lang w:val="en-GB"/>
        </w:rPr>
        <w:t xml:space="preserve">à </w:t>
      </w:r>
      <w:r w:rsidRPr="008D3F5B">
        <w:rPr>
          <w:rFonts w:eastAsia="Times New Roman" w:cs="Times New Roman"/>
          <w:szCs w:val="20"/>
          <w:lang w:val="en-GB"/>
        </w:rPr>
        <w:t>FR1 cell</w:t>
      </w:r>
    </w:p>
    <w:p w14:paraId="57BDF53F" w14:textId="77777777" w:rsidR="008D3F5B" w:rsidRDefault="008D3F5B" w:rsidP="005A5DF5">
      <w:pPr>
        <w:spacing w:after="0" w:line="240" w:lineRule="auto"/>
        <w:ind w:left="720"/>
        <w:jc w:val="left"/>
        <w:rPr>
          <w:rFonts w:eastAsia="Times New Roman" w:cs="Times New Roman"/>
          <w:szCs w:val="20"/>
          <w:lang w:val="en-GB"/>
        </w:rPr>
      </w:pPr>
      <w:r w:rsidRPr="008D3F5B">
        <w:rPr>
          <w:rFonts w:eastAsia="Times New Roman" w:cs="Times New Roman"/>
          <w:szCs w:val="20"/>
          <w:lang w:val="en-GB"/>
        </w:rPr>
        <w:t xml:space="preserve">FR2 PSCell </w:t>
      </w:r>
      <w:r w:rsidRPr="008D3F5B">
        <w:rPr>
          <w:rFonts w:ascii="Wingdings" w:eastAsia="Times New Roman" w:hAnsi="Wingdings" w:cs="Calibri"/>
          <w:szCs w:val="20"/>
          <w:lang w:val="en-GB"/>
        </w:rPr>
        <w:t xml:space="preserve">à </w:t>
      </w:r>
      <w:r w:rsidRPr="008D3F5B">
        <w:rPr>
          <w:rFonts w:eastAsia="Times New Roman" w:cs="Times New Roman"/>
          <w:szCs w:val="20"/>
          <w:lang w:val="en-GB"/>
        </w:rPr>
        <w:t>FR2 cell</w:t>
      </w:r>
    </w:p>
    <w:p w14:paraId="35294DA5" w14:textId="77777777" w:rsidR="008D3F5B" w:rsidRDefault="008D3F5B" w:rsidP="005A5DF5">
      <w:pPr>
        <w:spacing w:after="0" w:line="240" w:lineRule="auto"/>
        <w:ind w:left="720"/>
        <w:jc w:val="left"/>
        <w:rPr>
          <w:rFonts w:eastAsia="Times New Roman" w:cs="Times New Roman"/>
          <w:szCs w:val="20"/>
          <w:lang w:val="en-GB"/>
        </w:rPr>
      </w:pPr>
    </w:p>
    <w:p w14:paraId="3626B1A7" w14:textId="458729E6" w:rsidR="008D3F5B" w:rsidRDefault="008D3F5B" w:rsidP="005A5DF5">
      <w:pPr>
        <w:spacing w:after="0" w:line="240" w:lineRule="auto"/>
        <w:ind w:left="720"/>
        <w:jc w:val="left"/>
        <w:rPr>
          <w:rFonts w:eastAsia="Times New Roman" w:cs="Times New Roman"/>
          <w:szCs w:val="20"/>
          <w:lang w:val="en-GB"/>
        </w:rPr>
      </w:pPr>
      <w:r>
        <w:rPr>
          <w:rFonts w:eastAsia="Times New Roman" w:cs="Times New Roman"/>
          <w:szCs w:val="20"/>
          <w:lang w:val="en-GB"/>
        </w:rPr>
        <w:t>PSCell switch to a current serving cell:</w:t>
      </w:r>
    </w:p>
    <w:p w14:paraId="0CCD1F0A" w14:textId="77777777" w:rsidR="005D3487" w:rsidRDefault="005D3487" w:rsidP="005A5DF5">
      <w:pPr>
        <w:spacing w:after="0" w:line="240" w:lineRule="auto"/>
        <w:ind w:left="720"/>
        <w:jc w:val="left"/>
        <w:rPr>
          <w:rFonts w:eastAsia="Times New Roman" w:cs="Times New Roman"/>
          <w:szCs w:val="20"/>
          <w:lang w:val="en-GB"/>
        </w:rPr>
      </w:pPr>
    </w:p>
    <w:p w14:paraId="608C0922" w14:textId="3915B7B0" w:rsidR="005D3487" w:rsidRPr="005D3487" w:rsidRDefault="005D3487" w:rsidP="005A5DF5">
      <w:pPr>
        <w:spacing w:after="0" w:line="240" w:lineRule="auto"/>
        <w:ind w:left="720"/>
        <w:jc w:val="left"/>
        <w:rPr>
          <w:rFonts w:eastAsia="Times New Roman" w:cs="Times New Roman"/>
          <w:szCs w:val="20"/>
          <w:lang w:val="en-GB"/>
        </w:rPr>
      </w:pPr>
      <w:r w:rsidRPr="005D3487">
        <w:rPr>
          <w:rFonts w:eastAsia="Times New Roman" w:cs="Times New Roman"/>
          <w:szCs w:val="20"/>
          <w:lang w:val="en-GB"/>
        </w:rPr>
        <w:t xml:space="preserve">FR1 PSCell </w:t>
      </w:r>
      <w:r w:rsidR="00E328CE" w:rsidRPr="008D3F5B">
        <w:rPr>
          <w:rFonts w:ascii="Wingdings" w:eastAsia="Times New Roman" w:hAnsi="Wingdings" w:cs="Calibri"/>
          <w:szCs w:val="20"/>
          <w:lang w:val="en-GB"/>
        </w:rPr>
        <w:t>à</w:t>
      </w:r>
      <w:r w:rsidRPr="005D3487">
        <w:rPr>
          <w:rFonts w:eastAsia="Times New Roman" w:cs="Times New Roman"/>
          <w:szCs w:val="20"/>
          <w:lang w:val="en-GB"/>
        </w:rPr>
        <w:t xml:space="preserve"> FR1 SCG SCell</w:t>
      </w:r>
    </w:p>
    <w:p w14:paraId="77473A7C" w14:textId="2BC641F6" w:rsidR="005D3487" w:rsidRPr="005D3487" w:rsidRDefault="005D3487" w:rsidP="005A5DF5">
      <w:pPr>
        <w:spacing w:after="0" w:line="240" w:lineRule="auto"/>
        <w:ind w:left="720"/>
        <w:jc w:val="left"/>
        <w:rPr>
          <w:rFonts w:eastAsia="Times New Roman" w:cs="Times New Roman"/>
          <w:szCs w:val="20"/>
          <w:lang w:val="en-GB"/>
        </w:rPr>
      </w:pPr>
      <w:r w:rsidRPr="005D3487">
        <w:rPr>
          <w:rFonts w:eastAsia="Times New Roman" w:cs="Times New Roman"/>
          <w:szCs w:val="20"/>
          <w:lang w:val="en-GB"/>
        </w:rPr>
        <w:t xml:space="preserve">FR2 PSCell </w:t>
      </w:r>
      <w:r w:rsidR="00E328CE" w:rsidRPr="008D3F5B">
        <w:rPr>
          <w:rFonts w:ascii="Wingdings" w:eastAsia="Times New Roman" w:hAnsi="Wingdings" w:cs="Calibri"/>
          <w:szCs w:val="20"/>
          <w:lang w:val="en-GB"/>
        </w:rPr>
        <w:t>à</w:t>
      </w:r>
      <w:r w:rsidRPr="005D3487">
        <w:rPr>
          <w:rFonts w:eastAsia="Times New Roman" w:cs="Times New Roman"/>
          <w:szCs w:val="20"/>
          <w:lang w:val="en-GB"/>
        </w:rPr>
        <w:t xml:space="preserve"> FR2 SCG SCell</w:t>
      </w:r>
    </w:p>
    <w:p w14:paraId="786615FB" w14:textId="77777777" w:rsidR="008D3F5B" w:rsidRDefault="008D3F5B" w:rsidP="008D3F5B">
      <w:pPr>
        <w:spacing w:after="0" w:line="240" w:lineRule="auto"/>
        <w:jc w:val="left"/>
        <w:rPr>
          <w:rFonts w:ascii="Calibri" w:eastAsia="Times New Roman" w:hAnsi="Calibri" w:cs="Calibri"/>
          <w:szCs w:val="20"/>
          <w:lang w:val="en-GB"/>
        </w:rPr>
      </w:pPr>
    </w:p>
    <w:p w14:paraId="36453E93" w14:textId="77777777" w:rsidR="00C818BD" w:rsidRDefault="00C818BD" w:rsidP="00C818BD">
      <w:pPr>
        <w:pStyle w:val="RAN4proposal"/>
      </w:pPr>
      <w:bookmarkStart w:id="1" w:name="_Toc149904392"/>
      <w:r>
        <w:t>Reuse LTM PCell switch delay for PSCell.</w:t>
      </w:r>
      <w:bookmarkEnd w:id="1"/>
    </w:p>
    <w:p w14:paraId="48ED3212" w14:textId="7627B424" w:rsidR="00B44F2D" w:rsidRDefault="00B44F2D" w:rsidP="005108CE">
      <w:r>
        <w:t>Another issue to be discussed is to decide where in the specification the LTM cell switch delay requirements for PSCell switch</w:t>
      </w:r>
      <w:r w:rsidR="00C818BD">
        <w:t xml:space="preserve"> should be captured</w:t>
      </w:r>
      <w:r>
        <w:t>. PCell switch requirements are captured in section 6 for Connected state mobility</w:t>
      </w:r>
      <w:r w:rsidR="000C2360">
        <w:t xml:space="preserve">. </w:t>
      </w:r>
      <w:r>
        <w:t xml:space="preserve">PSCell switch requirements may be either captured in the same section </w:t>
      </w:r>
      <w:r w:rsidR="000C2360">
        <w:t xml:space="preserve">under section </w:t>
      </w:r>
      <w:r>
        <w:t>6 or they can be captured in section 8 similar to existing PSCell related requirements (e.g. PSCell change/addition).</w:t>
      </w:r>
      <w:r w:rsidR="00B04A09">
        <w:t xml:space="preserve"> </w:t>
      </w:r>
      <w:r w:rsidR="00180D2B">
        <w:t xml:space="preserve">Both options may work, but since requirements related to PSCell change without PCell handover are otherwise captured in section 8, it would be logical to </w:t>
      </w:r>
      <w:r w:rsidR="00180D2B">
        <w:lastRenderedPageBreak/>
        <w:t xml:space="preserve">define the </w:t>
      </w:r>
      <w:r w:rsidR="00E853F4">
        <w:t xml:space="preserve">LTM </w:t>
      </w:r>
      <w:r w:rsidR="00180D2B">
        <w:t>PSCell switch requirements in section 8 as well.</w:t>
      </w:r>
      <w:r w:rsidR="007E32DE">
        <w:t xml:space="preserve"> </w:t>
      </w:r>
      <w:r w:rsidR="00252AE8">
        <w:t xml:space="preserve">Avoiding duplication of the text </w:t>
      </w:r>
      <w:r w:rsidR="00DA33C9">
        <w:t xml:space="preserve">between the PCell and PSCell sections </w:t>
      </w:r>
      <w:r w:rsidR="00252AE8">
        <w:t xml:space="preserve">shall be avoided </w:t>
      </w:r>
      <w:r w:rsidR="00DA33C9">
        <w:t>when possible</w:t>
      </w:r>
      <w:r w:rsidR="00252AE8">
        <w:t>.</w:t>
      </w:r>
    </w:p>
    <w:p w14:paraId="0A16CBF4" w14:textId="01B1842D" w:rsidR="005108CE" w:rsidRDefault="00180D2B" w:rsidP="00180D2B">
      <w:pPr>
        <w:pStyle w:val="RAN4proposal"/>
      </w:pPr>
      <w:bookmarkStart w:id="2" w:name="_Toc149904393"/>
      <w:r>
        <w:t xml:space="preserve">Define </w:t>
      </w:r>
      <w:r w:rsidR="00F106FA">
        <w:t>LTM PSCell switch delay requirements in section 8.</w:t>
      </w:r>
      <w:bookmarkEnd w:id="2"/>
    </w:p>
    <w:p w14:paraId="38B61FC7" w14:textId="5C2211F7" w:rsidR="00CA6864" w:rsidRPr="00CA6864" w:rsidRDefault="00CA6864" w:rsidP="00CA6864">
      <w:r>
        <w:t xml:space="preserve">We have captured the requirements with this approach in our </w:t>
      </w:r>
      <w:r w:rsidRPr="00A74F5B">
        <w:t>companion draft CR [2].</w:t>
      </w:r>
    </w:p>
    <w:p w14:paraId="3FF72DF9" w14:textId="296F47B1" w:rsidR="005108CE" w:rsidRDefault="00703885" w:rsidP="005108CE">
      <w:pPr>
        <w:pStyle w:val="RAN4H1"/>
      </w:pPr>
      <w:r>
        <w:t>Remaining details of the c</w:t>
      </w:r>
      <w:r w:rsidR="005108CE">
        <w:t>omponents of cell switch delay</w:t>
      </w:r>
    </w:p>
    <w:p w14:paraId="3ED10260" w14:textId="3F732AF3" w:rsidR="00E328CE" w:rsidRPr="00E328CE" w:rsidRDefault="00E328CE" w:rsidP="00E328CE">
      <w:r>
        <w:t xml:space="preserve">LTM cell switch delay requirements for PCell were captured </w:t>
      </w:r>
      <w:r w:rsidR="005E1081">
        <w:t>in the big CR in the last meeting in [3].</w:t>
      </w:r>
    </w:p>
    <w:p w14:paraId="75397CFD" w14:textId="3102BA87" w:rsidR="005108CE" w:rsidRDefault="005108CE" w:rsidP="005108CE">
      <w:pPr>
        <w:pStyle w:val="RAN4H2"/>
      </w:pPr>
      <w:r>
        <w:t>T</w:t>
      </w:r>
      <w:r w:rsidR="0097019E" w:rsidRPr="0097019E">
        <w:rPr>
          <w:vertAlign w:val="subscript"/>
        </w:rPr>
        <w:t>LTM-</w:t>
      </w:r>
      <w:r w:rsidRPr="0097019E">
        <w:rPr>
          <w:vertAlign w:val="subscript"/>
        </w:rPr>
        <w:t>processing</w:t>
      </w:r>
    </w:p>
    <w:p w14:paraId="3D469DC2" w14:textId="4F9310CD" w:rsidR="00EC3A11" w:rsidRPr="00227B4F" w:rsidRDefault="00EC3A11" w:rsidP="00EC3A11">
      <w:r>
        <w:t xml:space="preserve">In the last meeting it was agreed that the </w:t>
      </w:r>
      <w:r w:rsidR="00227B4F">
        <w:t xml:space="preserve">default value for </w:t>
      </w:r>
      <w:proofErr w:type="spellStart"/>
      <w:r w:rsidR="00227B4F" w:rsidRPr="00227B4F">
        <w:t>T</w:t>
      </w:r>
      <w:r w:rsidR="00227B4F" w:rsidRPr="00227B4F">
        <w:rPr>
          <w:vertAlign w:val="subscript"/>
        </w:rPr>
        <w:t>LTM_processing</w:t>
      </w:r>
      <w:proofErr w:type="spellEnd"/>
      <w:r w:rsidR="00227B4F">
        <w:t xml:space="preserve"> is defined as 20 ms for intra-FR cell switch and 40 ms for inter-FR cell switch. It was left open whether a shorter value can be considered in some </w:t>
      </w:r>
      <w:r w:rsidR="00D05785">
        <w:t xml:space="preserve">scenarios or if the UE supports </w:t>
      </w:r>
      <w:r w:rsidR="008F491A">
        <w:t>a capability of shorter processing time</w:t>
      </w:r>
      <w:r w:rsidR="00D05785">
        <w:t>.</w:t>
      </w:r>
    </w:p>
    <w:tbl>
      <w:tblPr>
        <w:tblStyle w:val="TableGrid"/>
        <w:tblW w:w="0" w:type="auto"/>
        <w:tblLook w:val="04A0" w:firstRow="1" w:lastRow="0" w:firstColumn="1" w:lastColumn="0" w:noHBand="0" w:noVBand="1"/>
      </w:tblPr>
      <w:tblGrid>
        <w:gridCol w:w="9617"/>
      </w:tblGrid>
      <w:tr w:rsidR="005108CE" w14:paraId="6E5043E2" w14:textId="77777777" w:rsidTr="005108CE">
        <w:tc>
          <w:tcPr>
            <w:tcW w:w="9617" w:type="dxa"/>
          </w:tcPr>
          <w:p w14:paraId="46FCD7A5" w14:textId="3E1C9A22" w:rsidR="005108CE" w:rsidRPr="005108CE" w:rsidRDefault="005108CE" w:rsidP="005108CE">
            <w:pPr>
              <w:spacing w:after="120"/>
              <w:jc w:val="left"/>
              <w:rPr>
                <w:rFonts w:ascii="Calibri" w:eastAsia="Times New Roman" w:hAnsi="Calibri" w:cs="Calibri"/>
                <w:sz w:val="22"/>
              </w:rPr>
            </w:pPr>
            <w:r w:rsidRPr="005108CE">
              <w:rPr>
                <w:rFonts w:ascii="Calibri" w:eastAsia="Times New Roman" w:hAnsi="Calibri" w:cs="Calibri"/>
                <w:b/>
                <w:bCs/>
                <w:sz w:val="22"/>
                <w:u w:val="single"/>
              </w:rPr>
              <w:t xml:space="preserve">Issue 3-2-1-1: Processing time </w:t>
            </w:r>
          </w:p>
          <w:p w14:paraId="6CE9A39D" w14:textId="77777777" w:rsidR="005108CE" w:rsidRPr="005108CE" w:rsidRDefault="005108CE" w:rsidP="005108CE">
            <w:pPr>
              <w:spacing w:after="120"/>
              <w:jc w:val="left"/>
              <w:rPr>
                <w:rFonts w:ascii="Calibri" w:eastAsia="Times New Roman" w:hAnsi="Calibri" w:cs="Calibri"/>
                <w:color w:val="0070C0"/>
                <w:sz w:val="22"/>
              </w:rPr>
            </w:pPr>
            <w:r w:rsidRPr="005108CE">
              <w:rPr>
                <w:rFonts w:ascii="Calibri" w:eastAsia="Times New Roman" w:hAnsi="Calibri" w:cs="Calibri"/>
                <w:i/>
                <w:iCs/>
                <w:color w:val="0070C0"/>
                <w:sz w:val="22"/>
              </w:rPr>
              <w:t>Agreement online</w:t>
            </w:r>
          </w:p>
          <w:p w14:paraId="5A36B399" w14:textId="77777777" w:rsidR="005108CE" w:rsidRPr="005108CE" w:rsidRDefault="005108CE" w:rsidP="005108CE">
            <w:pPr>
              <w:spacing w:after="120"/>
              <w:jc w:val="left"/>
              <w:rPr>
                <w:rFonts w:ascii="Calibri" w:eastAsia="Times New Roman" w:hAnsi="Calibri" w:cs="Calibri"/>
                <w:sz w:val="22"/>
              </w:rPr>
            </w:pPr>
            <w:r w:rsidRPr="005108CE">
              <w:rPr>
                <w:rFonts w:ascii="Calibri" w:eastAsia="Times New Roman" w:hAnsi="Calibri" w:cs="Calibri"/>
                <w:sz w:val="22"/>
                <w:highlight w:val="green"/>
              </w:rPr>
              <w:t>&lt;</w:t>
            </w:r>
            <w:r w:rsidRPr="005108CE">
              <w:rPr>
                <w:rFonts w:ascii="Calibri" w:eastAsia="Times New Roman" w:hAnsi="Calibri" w:cs="Calibri"/>
                <w:b/>
                <w:bCs/>
                <w:sz w:val="22"/>
                <w:highlight w:val="green"/>
              </w:rPr>
              <w:t>Agreement</w:t>
            </w:r>
            <w:r w:rsidRPr="005108CE">
              <w:rPr>
                <w:rFonts w:ascii="Calibri" w:eastAsia="Times New Roman" w:hAnsi="Calibri" w:cs="Calibri"/>
                <w:sz w:val="22"/>
                <w:highlight w:val="green"/>
              </w:rPr>
              <w:t>&gt;:</w:t>
            </w:r>
          </w:p>
          <w:p w14:paraId="7F94CE45" w14:textId="77777777" w:rsidR="005108CE" w:rsidRPr="005108CE" w:rsidRDefault="005108CE" w:rsidP="0005135C">
            <w:pPr>
              <w:numPr>
                <w:ilvl w:val="0"/>
                <w:numId w:val="16"/>
              </w:numPr>
              <w:spacing w:after="120"/>
              <w:jc w:val="left"/>
              <w:textAlignment w:val="center"/>
              <w:rPr>
                <w:rFonts w:ascii="Calibri" w:eastAsia="Times New Roman" w:hAnsi="Calibri" w:cs="Calibri"/>
                <w:sz w:val="22"/>
              </w:rPr>
            </w:pPr>
            <w:r w:rsidRPr="005108CE">
              <w:rPr>
                <w:rFonts w:ascii="Calibri" w:eastAsia="Times New Roman" w:hAnsi="Calibri" w:cs="Calibri"/>
                <w:sz w:val="22"/>
                <w:highlight w:val="green"/>
              </w:rPr>
              <w:t>T</w:t>
            </w:r>
            <w:r w:rsidRPr="005108CE">
              <w:rPr>
                <w:rFonts w:ascii="Calibri" w:eastAsia="Times New Roman" w:hAnsi="Calibri" w:cs="Calibri"/>
                <w:sz w:val="22"/>
                <w:highlight w:val="green"/>
                <w:vertAlign w:val="subscript"/>
              </w:rPr>
              <w:t>processing,2</w:t>
            </w:r>
            <w:r w:rsidRPr="005108CE">
              <w:rPr>
                <w:rFonts w:ascii="Calibri" w:eastAsia="Times New Roman" w:hAnsi="Calibri" w:cs="Calibri"/>
                <w:sz w:val="22"/>
                <w:highlight w:val="green"/>
              </w:rPr>
              <w:t xml:space="preserve"> /T</w:t>
            </w:r>
            <w:r w:rsidRPr="005108CE">
              <w:rPr>
                <w:rFonts w:ascii="Calibri" w:eastAsia="Times New Roman" w:hAnsi="Calibri" w:cs="Calibri"/>
                <w:sz w:val="22"/>
                <w:highlight w:val="green"/>
                <w:vertAlign w:val="subscript"/>
              </w:rPr>
              <w:t xml:space="preserve"> </w:t>
            </w:r>
            <w:proofErr w:type="spellStart"/>
            <w:r w:rsidRPr="005108CE">
              <w:rPr>
                <w:rFonts w:ascii="Calibri" w:eastAsia="Times New Roman" w:hAnsi="Calibri" w:cs="Calibri"/>
                <w:sz w:val="22"/>
                <w:highlight w:val="green"/>
                <w:vertAlign w:val="subscript"/>
              </w:rPr>
              <w:t>LTM_processing</w:t>
            </w:r>
            <w:proofErr w:type="spellEnd"/>
            <w:r w:rsidRPr="005108CE">
              <w:rPr>
                <w:rFonts w:ascii="Calibri" w:eastAsia="Times New Roman" w:hAnsi="Calibri" w:cs="Calibri"/>
                <w:sz w:val="22"/>
                <w:highlight w:val="green"/>
              </w:rPr>
              <w:t xml:space="preserve"> can be 20ms for the intra-FR cell switch. Meanwhile, further discuss and down-select based on the two options:</w:t>
            </w:r>
          </w:p>
          <w:p w14:paraId="0ABA172B" w14:textId="77777777" w:rsidR="005108CE" w:rsidRPr="005108CE" w:rsidRDefault="005108CE" w:rsidP="0005135C">
            <w:pPr>
              <w:numPr>
                <w:ilvl w:val="1"/>
                <w:numId w:val="16"/>
              </w:numPr>
              <w:spacing w:after="120"/>
              <w:jc w:val="left"/>
              <w:textAlignment w:val="center"/>
              <w:rPr>
                <w:rFonts w:ascii="Calibri" w:eastAsia="Times New Roman" w:hAnsi="Calibri" w:cs="Calibri"/>
                <w:sz w:val="22"/>
              </w:rPr>
            </w:pPr>
            <w:r w:rsidRPr="005108CE">
              <w:rPr>
                <w:rFonts w:ascii="Calibri" w:eastAsia="Times New Roman" w:hAnsi="Calibri" w:cs="Calibri"/>
                <w:sz w:val="22"/>
                <w:highlight w:val="green"/>
              </w:rPr>
              <w:t>Option 1: FFS whether a smaller value can be considered based on other conditions/scenarios. FFS additional UE capabilities can be introduced for these conditions/scenarios.</w:t>
            </w:r>
          </w:p>
          <w:p w14:paraId="201787E4" w14:textId="77777777" w:rsidR="005108CE" w:rsidRPr="005108CE" w:rsidRDefault="005108CE" w:rsidP="0005135C">
            <w:pPr>
              <w:numPr>
                <w:ilvl w:val="1"/>
                <w:numId w:val="16"/>
              </w:numPr>
              <w:spacing w:after="120"/>
              <w:jc w:val="left"/>
              <w:textAlignment w:val="center"/>
              <w:rPr>
                <w:rFonts w:ascii="Calibri" w:eastAsia="Times New Roman" w:hAnsi="Calibri" w:cs="Calibri"/>
                <w:sz w:val="22"/>
              </w:rPr>
            </w:pPr>
            <w:r w:rsidRPr="005108CE">
              <w:rPr>
                <w:rFonts w:ascii="Calibri" w:eastAsia="Times New Roman" w:hAnsi="Calibri" w:cs="Calibri"/>
                <w:sz w:val="22"/>
                <w:highlight w:val="green"/>
              </w:rPr>
              <w:t xml:space="preserve">Option 2: introduce UE capability with up to 2 candidate values, one value is 20ms, and FFS the other one. </w:t>
            </w:r>
          </w:p>
          <w:p w14:paraId="41C5034E" w14:textId="77777777" w:rsidR="005108CE" w:rsidRPr="005108CE" w:rsidRDefault="005108CE" w:rsidP="0005135C">
            <w:pPr>
              <w:numPr>
                <w:ilvl w:val="0"/>
                <w:numId w:val="16"/>
              </w:numPr>
              <w:spacing w:after="120"/>
              <w:jc w:val="left"/>
              <w:textAlignment w:val="center"/>
              <w:rPr>
                <w:rFonts w:ascii="Calibri" w:eastAsia="Times New Roman" w:hAnsi="Calibri" w:cs="Calibri"/>
                <w:sz w:val="22"/>
              </w:rPr>
            </w:pPr>
            <w:r w:rsidRPr="005108CE">
              <w:rPr>
                <w:rFonts w:ascii="Calibri" w:eastAsia="Times New Roman" w:hAnsi="Calibri" w:cs="Calibri"/>
                <w:sz w:val="22"/>
                <w:highlight w:val="green"/>
              </w:rPr>
              <w:t>T</w:t>
            </w:r>
            <w:r w:rsidRPr="005108CE">
              <w:rPr>
                <w:rFonts w:ascii="Calibri" w:eastAsia="Times New Roman" w:hAnsi="Calibri" w:cs="Calibri"/>
                <w:sz w:val="22"/>
                <w:highlight w:val="green"/>
                <w:vertAlign w:val="subscript"/>
              </w:rPr>
              <w:t>processing,2</w:t>
            </w:r>
            <w:r w:rsidRPr="005108CE">
              <w:rPr>
                <w:rFonts w:ascii="Calibri" w:eastAsia="Times New Roman" w:hAnsi="Calibri" w:cs="Calibri"/>
                <w:sz w:val="22"/>
                <w:highlight w:val="green"/>
              </w:rPr>
              <w:t xml:space="preserve"> /T</w:t>
            </w:r>
            <w:r w:rsidRPr="005108CE">
              <w:rPr>
                <w:rFonts w:ascii="Calibri" w:eastAsia="Times New Roman" w:hAnsi="Calibri" w:cs="Calibri"/>
                <w:sz w:val="22"/>
                <w:highlight w:val="green"/>
                <w:vertAlign w:val="subscript"/>
              </w:rPr>
              <w:t xml:space="preserve"> </w:t>
            </w:r>
            <w:proofErr w:type="spellStart"/>
            <w:r w:rsidRPr="005108CE">
              <w:rPr>
                <w:rFonts w:ascii="Calibri" w:eastAsia="Times New Roman" w:hAnsi="Calibri" w:cs="Calibri"/>
                <w:sz w:val="22"/>
                <w:highlight w:val="green"/>
                <w:vertAlign w:val="subscript"/>
              </w:rPr>
              <w:t>LTM_processing</w:t>
            </w:r>
            <w:proofErr w:type="spellEnd"/>
            <w:r w:rsidRPr="005108CE">
              <w:rPr>
                <w:rFonts w:ascii="Calibri" w:eastAsia="Times New Roman" w:hAnsi="Calibri" w:cs="Calibri"/>
                <w:sz w:val="22"/>
                <w:highlight w:val="green"/>
              </w:rPr>
              <w:t xml:space="preserve"> for inter-FR cell switch is twice of that for intra-FR cell switch.</w:t>
            </w:r>
          </w:p>
          <w:p w14:paraId="0BCA634D" w14:textId="77777777" w:rsidR="005108CE" w:rsidRDefault="005108CE" w:rsidP="005108CE"/>
        </w:tc>
      </w:tr>
    </w:tbl>
    <w:p w14:paraId="27A31882" w14:textId="77777777" w:rsidR="005108CE" w:rsidRDefault="005108CE" w:rsidP="005108CE"/>
    <w:p w14:paraId="30FACE7C" w14:textId="63CB433F" w:rsidR="00F90322" w:rsidRDefault="00F90322" w:rsidP="005108CE">
      <w:r>
        <w:t>For</w:t>
      </w:r>
      <w:r w:rsidR="008110C9">
        <w:t xml:space="preserve"> all UEs, we think it </w:t>
      </w:r>
      <w:r w:rsidR="009C0D51">
        <w:t xml:space="preserve">should be assumed that </w:t>
      </w:r>
      <w:r w:rsidR="003A41FB">
        <w:t xml:space="preserve">in the case of role switch scenario, especially when </w:t>
      </w:r>
      <w:r w:rsidR="006C1D5C">
        <w:t xml:space="preserve">the target SCell has uplink configured, </w:t>
      </w:r>
      <w:r w:rsidR="00600072">
        <w:t xml:space="preserve">the processing delay should be shorter than 20 ms or 40 ms. For this </w:t>
      </w:r>
      <w:r w:rsidR="00607BEF">
        <w:t>scenario,</w:t>
      </w:r>
      <w:r w:rsidR="00600072">
        <w:t xml:space="preserve"> we think </w:t>
      </w:r>
      <w:r w:rsidR="003F6808">
        <w:t>shorter delays for T</w:t>
      </w:r>
      <w:r w:rsidR="003F6808" w:rsidRPr="00C8228A">
        <w:rPr>
          <w:sz w:val="18"/>
          <w:szCs w:val="20"/>
          <w:vertAlign w:val="subscript"/>
        </w:rPr>
        <w:t>LTM</w:t>
      </w:r>
      <w:r w:rsidR="003F6808" w:rsidRPr="003F6808">
        <w:rPr>
          <w:sz w:val="18"/>
          <w:szCs w:val="20"/>
        </w:rPr>
        <w:t>-processing</w:t>
      </w:r>
      <w:r w:rsidR="003F6808">
        <w:t xml:space="preserve"> should be </w:t>
      </w:r>
      <w:r w:rsidR="00607BEF">
        <w:t>defined</w:t>
      </w:r>
      <w:r w:rsidR="003F6808">
        <w:t>.</w:t>
      </w:r>
      <w:r w:rsidR="00670BA4">
        <w:t xml:space="preserve"> </w:t>
      </w:r>
    </w:p>
    <w:p w14:paraId="3BAD7FF8" w14:textId="56CD9B59" w:rsidR="00537078" w:rsidRDefault="002E3757" w:rsidP="00537078">
      <w:pPr>
        <w:pStyle w:val="RAN4proposal"/>
      </w:pPr>
      <w:bookmarkStart w:id="3" w:name="_Toc149904394"/>
      <w:r>
        <w:t xml:space="preserve">For role switch scenario, shorter </w:t>
      </w:r>
      <w:r w:rsidR="00F94E69">
        <w:t xml:space="preserve">LTM processing delay than 20 ms or 40 ms should be </w:t>
      </w:r>
      <w:r w:rsidR="00607BEF">
        <w:t>defined</w:t>
      </w:r>
      <w:r w:rsidR="00F94E69">
        <w:t>.</w:t>
      </w:r>
      <w:bookmarkEnd w:id="3"/>
    </w:p>
    <w:p w14:paraId="3FE67E3E" w14:textId="66E69048" w:rsidR="0011146D" w:rsidRDefault="0011146D" w:rsidP="0011146D">
      <w:r>
        <w:t xml:space="preserve">To enable even faster LTM cell switch </w:t>
      </w:r>
      <w:r w:rsidR="00E13C4D">
        <w:t xml:space="preserve">in all scenarios and </w:t>
      </w:r>
      <w:r>
        <w:t>even in the case early DL sync and TA acquisition is not done, defining a capability for faster UE processing makes sense</w:t>
      </w:r>
      <w:r w:rsidR="00B540D5">
        <w:t>,</w:t>
      </w:r>
      <w:r>
        <w:t xml:space="preserve"> if there are UE vendors that are interested to support such capability. </w:t>
      </w:r>
    </w:p>
    <w:p w14:paraId="34BE7FA3" w14:textId="32427283" w:rsidR="005108CE" w:rsidRPr="005A36E8" w:rsidRDefault="0097019E" w:rsidP="005A36E8">
      <w:pPr>
        <w:pStyle w:val="RAN4H2"/>
      </w:pPr>
      <w:bookmarkStart w:id="4" w:name="_Hlk148514349"/>
      <w:proofErr w:type="spellStart"/>
      <w:r w:rsidRPr="005A36E8">
        <w:rPr>
          <w:rFonts w:eastAsiaTheme="minorEastAsia"/>
        </w:rPr>
        <w:t>T</w:t>
      </w:r>
      <w:r w:rsidRPr="005A36E8">
        <w:rPr>
          <w:rFonts w:eastAsiaTheme="minorEastAsia"/>
          <w:vertAlign w:val="subscript"/>
        </w:rPr>
        <w:t>first</w:t>
      </w:r>
      <w:proofErr w:type="spellEnd"/>
      <w:r w:rsidRPr="005A36E8">
        <w:rPr>
          <w:rFonts w:eastAsiaTheme="minorEastAsia"/>
          <w:vertAlign w:val="subscript"/>
        </w:rPr>
        <w:t>-RS</w:t>
      </w:r>
      <w:r w:rsidRPr="005A36E8">
        <w:rPr>
          <w:rFonts w:eastAsiaTheme="minorEastAsia"/>
        </w:rPr>
        <w:t xml:space="preserve"> and T</w:t>
      </w:r>
      <w:r w:rsidRPr="005A36E8">
        <w:rPr>
          <w:rFonts w:eastAsiaTheme="minorEastAsia"/>
          <w:vertAlign w:val="subscript"/>
        </w:rPr>
        <w:t>RS-proc</w:t>
      </w:r>
    </w:p>
    <w:bookmarkEnd w:id="4"/>
    <w:p w14:paraId="58CD0660" w14:textId="685A6E82" w:rsidR="00A2312B" w:rsidRPr="00A10FBF" w:rsidRDefault="00BF5149" w:rsidP="00A2312B">
      <w:r>
        <w:t>For T/F tracking, it was agreed that when the target TCI state is on the active TCI state list for LTM candidate cells</w:t>
      </w:r>
      <w:r w:rsidR="00FD6E48">
        <w:t xml:space="preserve">, </w:t>
      </w:r>
      <w:proofErr w:type="spellStart"/>
      <w:r w:rsidR="00444491" w:rsidRPr="00284F55">
        <w:rPr>
          <w:rFonts w:eastAsiaTheme="minorEastAsia"/>
          <w:bCs/>
        </w:rPr>
        <w:t>T</w:t>
      </w:r>
      <w:r w:rsidR="00444491" w:rsidRPr="00284F55">
        <w:rPr>
          <w:rFonts w:eastAsiaTheme="minorEastAsia"/>
          <w:bCs/>
          <w:vertAlign w:val="subscript"/>
        </w:rPr>
        <w:t>first</w:t>
      </w:r>
      <w:proofErr w:type="spellEnd"/>
      <w:r w:rsidR="00444491" w:rsidRPr="00284F55">
        <w:rPr>
          <w:rFonts w:eastAsiaTheme="minorEastAsia"/>
          <w:bCs/>
          <w:vertAlign w:val="subscript"/>
        </w:rPr>
        <w:t>-RS</w:t>
      </w:r>
      <w:r w:rsidR="00444491">
        <w:rPr>
          <w:rFonts w:eastAsiaTheme="minorEastAsia"/>
          <w:bCs/>
        </w:rPr>
        <w:t xml:space="preserve"> </w:t>
      </w:r>
      <w:r w:rsidR="00444491" w:rsidRPr="00C35CBF">
        <w:rPr>
          <w:rFonts w:eastAsiaTheme="minorEastAsia" w:cs="Times New Roman"/>
          <w:bCs/>
          <w:szCs w:val="20"/>
        </w:rPr>
        <w:t>(T</w:t>
      </w:r>
      <w:r w:rsidR="00444491" w:rsidRPr="00C35CBF">
        <w:rPr>
          <w:rFonts w:eastAsiaTheme="minorEastAsia" w:cs="Times New Roman"/>
          <w:bCs/>
          <w:szCs w:val="20"/>
          <w:vertAlign w:val="subscript"/>
        </w:rPr>
        <w:t>Δ</w:t>
      </w:r>
      <w:r w:rsidR="00444491" w:rsidRPr="00C35CBF">
        <w:rPr>
          <w:rFonts w:eastAsiaTheme="minorEastAsia" w:cs="Times New Roman"/>
          <w:bCs/>
          <w:szCs w:val="20"/>
        </w:rPr>
        <w:t xml:space="preserve">) and </w:t>
      </w:r>
      <w:r w:rsidR="00A10FBF" w:rsidRPr="00C35CBF">
        <w:rPr>
          <w:rFonts w:eastAsiaTheme="minorEastAsia" w:cs="Times New Roman"/>
          <w:bCs/>
          <w:szCs w:val="20"/>
        </w:rPr>
        <w:t>T</w:t>
      </w:r>
      <w:r w:rsidR="00A10FBF" w:rsidRPr="00C35CBF">
        <w:rPr>
          <w:rFonts w:eastAsiaTheme="minorEastAsia" w:cs="Times New Roman"/>
          <w:bCs/>
          <w:szCs w:val="20"/>
          <w:vertAlign w:val="subscript"/>
        </w:rPr>
        <w:t>RS-proc</w:t>
      </w:r>
      <w:r w:rsidR="00A10FBF" w:rsidRPr="00C35CBF">
        <w:rPr>
          <w:rFonts w:eastAsiaTheme="minorEastAsia" w:cs="Times New Roman"/>
          <w:bCs/>
          <w:szCs w:val="20"/>
        </w:rPr>
        <w:t xml:space="preserve"> (</w:t>
      </w:r>
      <w:proofErr w:type="spellStart"/>
      <w:r w:rsidR="00A10FBF" w:rsidRPr="00C35CBF">
        <w:rPr>
          <w:rFonts w:eastAsia="Times New Roman" w:cs="Times New Roman"/>
          <w:bCs/>
          <w:szCs w:val="20"/>
        </w:rPr>
        <w:t>T</w:t>
      </w:r>
      <w:r w:rsidR="00A10FBF" w:rsidRPr="00C35CBF">
        <w:rPr>
          <w:rFonts w:eastAsia="Times New Roman" w:cs="Times New Roman"/>
          <w:bCs/>
          <w:szCs w:val="20"/>
          <w:vertAlign w:val="subscript"/>
        </w:rPr>
        <w:t>margin</w:t>
      </w:r>
      <w:proofErr w:type="spellEnd"/>
      <w:r w:rsidR="00A10FBF" w:rsidRPr="00C35CBF">
        <w:rPr>
          <w:rFonts w:eastAsia="Times New Roman" w:cs="Times New Roman"/>
          <w:bCs/>
          <w:szCs w:val="20"/>
        </w:rPr>
        <w:t xml:space="preserve">) have value 0. Otherwise, </w:t>
      </w:r>
      <w:r w:rsidR="00C35CBF" w:rsidRPr="00C35CBF">
        <w:rPr>
          <w:rFonts w:eastAsia="Times New Roman" w:cs="Times New Roman"/>
          <w:bCs/>
          <w:szCs w:val="20"/>
        </w:rPr>
        <w:t>legacy values are reused.</w:t>
      </w:r>
      <w:r w:rsidR="00A30CBF">
        <w:rPr>
          <w:rFonts w:eastAsia="Times New Roman" w:cs="Times New Roman"/>
          <w:bCs/>
          <w:szCs w:val="20"/>
        </w:rPr>
        <w:t xml:space="preserve"> Other scenarios when the value can be 0 were left FFS.</w:t>
      </w:r>
    </w:p>
    <w:tbl>
      <w:tblPr>
        <w:tblStyle w:val="TableGrid"/>
        <w:tblW w:w="0" w:type="auto"/>
        <w:tblLook w:val="04A0" w:firstRow="1" w:lastRow="0" w:firstColumn="1" w:lastColumn="0" w:noHBand="0" w:noVBand="1"/>
      </w:tblPr>
      <w:tblGrid>
        <w:gridCol w:w="9617"/>
      </w:tblGrid>
      <w:tr w:rsidR="005108CE" w14:paraId="3AFC6C65" w14:textId="77777777" w:rsidTr="005108CE">
        <w:tc>
          <w:tcPr>
            <w:tcW w:w="9617" w:type="dxa"/>
          </w:tcPr>
          <w:p w14:paraId="00D73CF5" w14:textId="77777777" w:rsidR="005108CE" w:rsidRPr="005108CE" w:rsidRDefault="005108CE" w:rsidP="005108CE">
            <w:pPr>
              <w:spacing w:after="120"/>
              <w:jc w:val="left"/>
              <w:rPr>
                <w:rFonts w:ascii="Calibri" w:eastAsia="Times New Roman" w:hAnsi="Calibri" w:cs="Calibri"/>
                <w:sz w:val="22"/>
              </w:rPr>
            </w:pPr>
            <w:r w:rsidRPr="005108CE">
              <w:rPr>
                <w:rFonts w:ascii="Calibri" w:eastAsia="Times New Roman" w:hAnsi="Calibri" w:cs="Calibri"/>
                <w:b/>
                <w:bCs/>
                <w:sz w:val="22"/>
                <w:u w:val="single"/>
              </w:rPr>
              <w:t xml:space="preserve">Issue 3-2-2-1: T/F fine tracking: </w:t>
            </w:r>
            <w:bookmarkStart w:id="5" w:name="_Hlk148512993"/>
            <w:r w:rsidRPr="005108CE">
              <w:rPr>
                <w:rFonts w:ascii="Calibri" w:eastAsia="Times New Roman" w:hAnsi="Calibri" w:cs="Calibri"/>
                <w:b/>
                <w:bCs/>
                <w:sz w:val="22"/>
                <w:u w:val="single"/>
              </w:rPr>
              <w:t>T</w:t>
            </w:r>
            <w:r w:rsidRPr="005108CE">
              <w:rPr>
                <w:rFonts w:ascii="Calibri" w:eastAsia="Times New Roman" w:hAnsi="Calibri" w:cs="Calibri"/>
                <w:b/>
                <w:bCs/>
                <w:sz w:val="22"/>
                <w:u w:val="single"/>
                <w:vertAlign w:val="subscript"/>
              </w:rPr>
              <w:t>Δ</w:t>
            </w:r>
            <w:bookmarkEnd w:id="5"/>
            <w:r w:rsidRPr="005108CE">
              <w:rPr>
                <w:rFonts w:ascii="Calibri" w:eastAsia="Times New Roman" w:hAnsi="Calibri" w:cs="Calibri"/>
                <w:b/>
                <w:bCs/>
                <w:sz w:val="22"/>
                <w:u w:val="single"/>
              </w:rPr>
              <w:t xml:space="preserve"> and </w:t>
            </w:r>
            <w:proofErr w:type="spellStart"/>
            <w:r w:rsidRPr="005108CE">
              <w:rPr>
                <w:rFonts w:ascii="Calibri" w:eastAsia="Times New Roman" w:hAnsi="Calibri" w:cs="Calibri"/>
                <w:b/>
                <w:bCs/>
                <w:sz w:val="22"/>
                <w:u w:val="single"/>
              </w:rPr>
              <w:t>T</w:t>
            </w:r>
            <w:r w:rsidRPr="005108CE">
              <w:rPr>
                <w:rFonts w:ascii="Calibri" w:eastAsia="Times New Roman" w:hAnsi="Calibri" w:cs="Calibri"/>
                <w:b/>
                <w:bCs/>
                <w:sz w:val="22"/>
                <w:u w:val="single"/>
                <w:vertAlign w:val="subscript"/>
              </w:rPr>
              <w:t>margin</w:t>
            </w:r>
            <w:proofErr w:type="spellEnd"/>
          </w:p>
          <w:p w14:paraId="5C4A2372" w14:textId="77777777" w:rsidR="005108CE" w:rsidRPr="005108CE" w:rsidRDefault="005108CE" w:rsidP="005108CE">
            <w:pPr>
              <w:spacing w:after="120"/>
              <w:jc w:val="left"/>
              <w:rPr>
                <w:rFonts w:ascii="Calibri" w:eastAsia="Times New Roman" w:hAnsi="Calibri" w:cs="Calibri"/>
                <w:color w:val="0070C0"/>
                <w:sz w:val="22"/>
              </w:rPr>
            </w:pPr>
            <w:r w:rsidRPr="005108CE">
              <w:rPr>
                <w:rFonts w:ascii="Calibri" w:eastAsia="Times New Roman" w:hAnsi="Calibri" w:cs="Calibri"/>
                <w:i/>
                <w:iCs/>
                <w:color w:val="0070C0"/>
                <w:sz w:val="22"/>
              </w:rPr>
              <w:t>Ad hoc agreement</w:t>
            </w:r>
          </w:p>
          <w:p w14:paraId="233EBF35" w14:textId="77777777" w:rsidR="005108CE" w:rsidRPr="005108CE" w:rsidRDefault="005108CE" w:rsidP="005108CE">
            <w:pPr>
              <w:spacing w:after="120"/>
              <w:jc w:val="left"/>
              <w:rPr>
                <w:rFonts w:ascii="Calibri" w:eastAsia="Times New Roman" w:hAnsi="Calibri" w:cs="Calibri"/>
                <w:sz w:val="22"/>
              </w:rPr>
            </w:pPr>
            <w:r w:rsidRPr="005108CE">
              <w:rPr>
                <w:rFonts w:ascii="Calibri" w:eastAsia="Times New Roman" w:hAnsi="Calibri" w:cs="Calibri"/>
                <w:sz w:val="22"/>
                <w:highlight w:val="green"/>
              </w:rPr>
              <w:t>&lt;</w:t>
            </w:r>
            <w:r w:rsidRPr="005108CE">
              <w:rPr>
                <w:rFonts w:ascii="Calibri" w:eastAsia="Times New Roman" w:hAnsi="Calibri" w:cs="Calibri"/>
                <w:b/>
                <w:bCs/>
                <w:sz w:val="22"/>
                <w:highlight w:val="green"/>
              </w:rPr>
              <w:t>Agreement</w:t>
            </w:r>
            <w:r w:rsidRPr="005108CE">
              <w:rPr>
                <w:rFonts w:ascii="Calibri" w:eastAsia="Times New Roman" w:hAnsi="Calibri" w:cs="Calibri"/>
                <w:sz w:val="22"/>
                <w:highlight w:val="green"/>
              </w:rPr>
              <w:t xml:space="preserve"> &gt;:</w:t>
            </w:r>
          </w:p>
          <w:p w14:paraId="393A1DAF" w14:textId="77777777" w:rsidR="005108CE" w:rsidRPr="005108CE" w:rsidRDefault="005108CE" w:rsidP="0005135C">
            <w:pPr>
              <w:numPr>
                <w:ilvl w:val="0"/>
                <w:numId w:val="17"/>
              </w:numPr>
              <w:spacing w:after="120"/>
              <w:jc w:val="left"/>
              <w:textAlignment w:val="center"/>
              <w:rPr>
                <w:rFonts w:ascii="Calibri" w:eastAsia="Times New Roman" w:hAnsi="Calibri" w:cs="Calibri"/>
                <w:sz w:val="22"/>
              </w:rPr>
            </w:pPr>
            <w:r w:rsidRPr="005108CE">
              <w:rPr>
                <w:rFonts w:ascii="Calibri" w:eastAsia="Times New Roman" w:hAnsi="Calibri" w:cs="Calibri"/>
                <w:color w:val="000000"/>
                <w:sz w:val="21"/>
                <w:szCs w:val="21"/>
                <w:highlight w:val="green"/>
              </w:rPr>
              <w:lastRenderedPageBreak/>
              <w:t>If TCI state of target cell has been activated before cell switch command, and the TCI state indicated is in the active TCI state list, and measurement period of L1-RSRP is no longer than 160ms, T</w:t>
            </w:r>
            <w:r w:rsidRPr="005108CE">
              <w:rPr>
                <w:rFonts w:ascii="Calibri" w:eastAsia="Times New Roman" w:hAnsi="Calibri" w:cs="Calibri"/>
                <w:color w:val="000000"/>
                <w:sz w:val="21"/>
                <w:szCs w:val="21"/>
                <w:highlight w:val="green"/>
                <w:vertAlign w:val="subscript"/>
              </w:rPr>
              <w:t>Δ</w:t>
            </w:r>
            <w:r w:rsidRPr="005108CE">
              <w:rPr>
                <w:rFonts w:ascii="Calibri" w:eastAsia="Times New Roman" w:hAnsi="Calibri" w:cs="Calibri"/>
                <w:color w:val="000000"/>
                <w:sz w:val="21"/>
                <w:szCs w:val="21"/>
                <w:highlight w:val="green"/>
              </w:rPr>
              <w:t xml:space="preserve"> = 0 and </w:t>
            </w:r>
            <w:proofErr w:type="spellStart"/>
            <w:r w:rsidRPr="005108CE">
              <w:rPr>
                <w:rFonts w:ascii="Calibri" w:eastAsia="Times New Roman" w:hAnsi="Calibri" w:cs="Calibri"/>
                <w:color w:val="000000"/>
                <w:sz w:val="21"/>
                <w:szCs w:val="21"/>
                <w:highlight w:val="green"/>
              </w:rPr>
              <w:t>T</w:t>
            </w:r>
            <w:r w:rsidRPr="005108CE">
              <w:rPr>
                <w:rFonts w:ascii="Calibri" w:eastAsia="Times New Roman" w:hAnsi="Calibri" w:cs="Calibri"/>
                <w:color w:val="000000"/>
                <w:sz w:val="21"/>
                <w:szCs w:val="21"/>
                <w:highlight w:val="green"/>
                <w:vertAlign w:val="subscript"/>
              </w:rPr>
              <w:t>margin</w:t>
            </w:r>
            <w:proofErr w:type="spellEnd"/>
            <w:r w:rsidRPr="005108CE">
              <w:rPr>
                <w:rFonts w:ascii="Calibri" w:eastAsia="Times New Roman" w:hAnsi="Calibri" w:cs="Calibri"/>
                <w:color w:val="000000"/>
                <w:sz w:val="21"/>
                <w:szCs w:val="21"/>
                <w:highlight w:val="green"/>
              </w:rPr>
              <w:t xml:space="preserve"> = 0. </w:t>
            </w:r>
          </w:p>
          <w:p w14:paraId="05919CB8" w14:textId="77777777" w:rsidR="005108CE" w:rsidRPr="005108CE" w:rsidRDefault="005108CE" w:rsidP="0005135C">
            <w:pPr>
              <w:numPr>
                <w:ilvl w:val="0"/>
                <w:numId w:val="17"/>
              </w:numPr>
              <w:spacing w:after="120"/>
              <w:jc w:val="left"/>
              <w:textAlignment w:val="center"/>
              <w:rPr>
                <w:rFonts w:ascii="Calibri" w:eastAsia="Times New Roman" w:hAnsi="Calibri" w:cs="Calibri"/>
                <w:sz w:val="22"/>
              </w:rPr>
            </w:pPr>
            <w:r w:rsidRPr="005108CE">
              <w:rPr>
                <w:rFonts w:ascii="Calibri" w:eastAsia="Times New Roman" w:hAnsi="Calibri" w:cs="Calibri"/>
                <w:color w:val="000000"/>
                <w:sz w:val="21"/>
                <w:szCs w:val="21"/>
                <w:highlight w:val="green"/>
              </w:rPr>
              <w:t>Else If TCI state indicated in cell switch command is not in the active TCI state list that has been activated for the target cell, when the measurement period of L1-RSRP is no longer than 160ms, whether additional delay is needed is FFS.</w:t>
            </w:r>
          </w:p>
          <w:p w14:paraId="3E35DFAA" w14:textId="77777777" w:rsidR="005108CE" w:rsidRPr="005108CE" w:rsidRDefault="005108CE" w:rsidP="0005135C">
            <w:pPr>
              <w:numPr>
                <w:ilvl w:val="0"/>
                <w:numId w:val="17"/>
              </w:numPr>
              <w:spacing w:after="120"/>
              <w:jc w:val="left"/>
              <w:textAlignment w:val="center"/>
              <w:rPr>
                <w:rFonts w:ascii="Calibri" w:eastAsia="Times New Roman" w:hAnsi="Calibri" w:cs="Calibri"/>
                <w:sz w:val="22"/>
              </w:rPr>
            </w:pPr>
            <w:r w:rsidRPr="005108CE">
              <w:rPr>
                <w:rFonts w:ascii="Calibri" w:eastAsia="Times New Roman" w:hAnsi="Calibri" w:cs="Calibri"/>
                <w:color w:val="000000"/>
                <w:sz w:val="21"/>
                <w:szCs w:val="21"/>
                <w:highlight w:val="green"/>
              </w:rPr>
              <w:t>Otherwise, T</w:t>
            </w:r>
            <w:r w:rsidRPr="005108CE">
              <w:rPr>
                <w:rFonts w:ascii="Calibri" w:eastAsia="Times New Roman" w:hAnsi="Calibri" w:cs="Calibri"/>
                <w:color w:val="000000"/>
                <w:sz w:val="21"/>
                <w:szCs w:val="21"/>
                <w:highlight w:val="green"/>
                <w:vertAlign w:val="subscript"/>
              </w:rPr>
              <w:t>Δ</w:t>
            </w:r>
            <w:r w:rsidRPr="005108CE">
              <w:rPr>
                <w:rFonts w:ascii="Calibri" w:eastAsia="Times New Roman" w:hAnsi="Calibri" w:cs="Calibri"/>
                <w:color w:val="000000"/>
                <w:sz w:val="21"/>
                <w:szCs w:val="21"/>
                <w:highlight w:val="green"/>
              </w:rPr>
              <w:t xml:space="preserve">=1 </w:t>
            </w:r>
            <w:proofErr w:type="spellStart"/>
            <w:r w:rsidRPr="005108CE">
              <w:rPr>
                <w:rFonts w:ascii="Calibri" w:eastAsia="Times New Roman" w:hAnsi="Calibri" w:cs="Calibri"/>
                <w:color w:val="000000"/>
                <w:sz w:val="21"/>
                <w:szCs w:val="21"/>
                <w:highlight w:val="green"/>
              </w:rPr>
              <w:t>T</w:t>
            </w:r>
            <w:r w:rsidRPr="005108CE">
              <w:rPr>
                <w:rFonts w:ascii="Calibri" w:eastAsia="Times New Roman" w:hAnsi="Calibri" w:cs="Calibri"/>
                <w:color w:val="000000"/>
                <w:sz w:val="21"/>
                <w:szCs w:val="21"/>
                <w:highlight w:val="green"/>
                <w:vertAlign w:val="subscript"/>
              </w:rPr>
              <w:t>first</w:t>
            </w:r>
            <w:proofErr w:type="spellEnd"/>
            <w:r w:rsidRPr="005108CE">
              <w:rPr>
                <w:rFonts w:ascii="Calibri" w:eastAsia="Times New Roman" w:hAnsi="Calibri" w:cs="Calibri"/>
                <w:color w:val="000000"/>
                <w:sz w:val="21"/>
                <w:szCs w:val="21"/>
                <w:highlight w:val="green"/>
                <w:vertAlign w:val="subscript"/>
              </w:rPr>
              <w:t>-RS</w:t>
            </w:r>
            <w:r w:rsidRPr="005108CE">
              <w:rPr>
                <w:rFonts w:ascii="Calibri" w:eastAsia="Times New Roman" w:hAnsi="Calibri" w:cs="Calibri"/>
                <w:color w:val="000000"/>
                <w:sz w:val="21"/>
                <w:szCs w:val="21"/>
                <w:highlight w:val="green"/>
              </w:rPr>
              <w:t xml:space="preserve">, </w:t>
            </w:r>
            <w:proofErr w:type="spellStart"/>
            <w:r w:rsidRPr="005108CE">
              <w:rPr>
                <w:rFonts w:ascii="Calibri" w:eastAsia="Times New Roman" w:hAnsi="Calibri" w:cs="Calibri"/>
                <w:color w:val="000000"/>
                <w:sz w:val="21"/>
                <w:szCs w:val="21"/>
                <w:highlight w:val="green"/>
              </w:rPr>
              <w:t>T</w:t>
            </w:r>
            <w:r w:rsidRPr="005108CE">
              <w:rPr>
                <w:rFonts w:ascii="Calibri" w:eastAsia="Times New Roman" w:hAnsi="Calibri" w:cs="Calibri"/>
                <w:color w:val="000000"/>
                <w:sz w:val="21"/>
                <w:szCs w:val="21"/>
                <w:highlight w:val="green"/>
                <w:vertAlign w:val="subscript"/>
              </w:rPr>
              <w:t>margin</w:t>
            </w:r>
            <w:proofErr w:type="spellEnd"/>
            <w:r w:rsidRPr="005108CE">
              <w:rPr>
                <w:rFonts w:ascii="Calibri" w:eastAsia="Times New Roman" w:hAnsi="Calibri" w:cs="Calibri"/>
                <w:color w:val="000000"/>
                <w:sz w:val="21"/>
                <w:szCs w:val="21"/>
                <w:highlight w:val="green"/>
              </w:rPr>
              <w:t xml:space="preserve"> = 2ms.</w:t>
            </w:r>
          </w:p>
          <w:p w14:paraId="4E1FF4BA" w14:textId="77777777" w:rsidR="005108CE" w:rsidRDefault="005108CE" w:rsidP="005108CE"/>
        </w:tc>
      </w:tr>
    </w:tbl>
    <w:p w14:paraId="7B52CC85" w14:textId="77777777" w:rsidR="005108CE" w:rsidRDefault="005108CE" w:rsidP="005108CE"/>
    <w:p w14:paraId="0B2908BC" w14:textId="424D09E6" w:rsidR="00A30CBF" w:rsidRDefault="00A30CBF" w:rsidP="005108CE">
      <w:r>
        <w:t xml:space="preserve">Furthermore, </w:t>
      </w:r>
      <w:r w:rsidR="00805543">
        <w:t xml:space="preserve">it was agreed that in role switch scenario, </w:t>
      </w:r>
      <w:r w:rsidR="006C5CBE">
        <w:t>the target TCI state may also be on the active list of the target serving cell to be considered active:</w:t>
      </w:r>
    </w:p>
    <w:tbl>
      <w:tblPr>
        <w:tblStyle w:val="TableGrid"/>
        <w:tblW w:w="0" w:type="auto"/>
        <w:tblLook w:val="04A0" w:firstRow="1" w:lastRow="0" w:firstColumn="1" w:lastColumn="0" w:noHBand="0" w:noVBand="1"/>
      </w:tblPr>
      <w:tblGrid>
        <w:gridCol w:w="9617"/>
      </w:tblGrid>
      <w:tr w:rsidR="00805543" w14:paraId="23CDDA0C" w14:textId="77777777" w:rsidTr="00805543">
        <w:tc>
          <w:tcPr>
            <w:tcW w:w="9617" w:type="dxa"/>
          </w:tcPr>
          <w:p w14:paraId="3142E0FE" w14:textId="7A8AE59A" w:rsidR="00805543" w:rsidRPr="00805543" w:rsidRDefault="00805543" w:rsidP="00805543">
            <w:pPr>
              <w:jc w:val="left"/>
              <w:rPr>
                <w:rFonts w:ascii="Calibri" w:eastAsia="Times New Roman" w:hAnsi="Calibri" w:cs="Calibri"/>
                <w:b/>
                <w:bCs/>
                <w:sz w:val="22"/>
                <w:u w:val="single"/>
              </w:rPr>
            </w:pPr>
            <w:r w:rsidRPr="00805543">
              <w:rPr>
                <w:rFonts w:ascii="Calibri" w:eastAsia="Times New Roman" w:hAnsi="Calibri" w:cs="Calibri"/>
                <w:b/>
                <w:bCs/>
                <w:sz w:val="22"/>
                <w:u w:val="single"/>
              </w:rPr>
              <w:t>Issue 1-1-7: TCI state activation in role switch scenario</w:t>
            </w:r>
          </w:p>
          <w:p w14:paraId="6E44C022" w14:textId="77777777" w:rsidR="00805543" w:rsidRDefault="00805543" w:rsidP="00805543">
            <w:pPr>
              <w:jc w:val="left"/>
              <w:rPr>
                <w:rFonts w:ascii="Calibri" w:eastAsia="Times New Roman" w:hAnsi="Calibri" w:cs="Calibri"/>
                <w:b/>
                <w:bCs/>
                <w:sz w:val="22"/>
              </w:rPr>
            </w:pPr>
          </w:p>
          <w:p w14:paraId="298BEFDA" w14:textId="67DD5641" w:rsidR="00805543" w:rsidRPr="00805543" w:rsidRDefault="00805543" w:rsidP="00805543">
            <w:pPr>
              <w:jc w:val="left"/>
              <w:rPr>
                <w:rFonts w:ascii="Calibri" w:eastAsia="Times New Roman" w:hAnsi="Calibri" w:cs="Calibri"/>
                <w:sz w:val="22"/>
              </w:rPr>
            </w:pPr>
            <w:r w:rsidRPr="00805543">
              <w:rPr>
                <w:rFonts w:ascii="Calibri" w:eastAsia="Times New Roman" w:hAnsi="Calibri" w:cs="Calibri"/>
                <w:b/>
                <w:bCs/>
                <w:sz w:val="22"/>
              </w:rPr>
              <w:t>&lt; Agreement&gt;</w:t>
            </w:r>
          </w:p>
          <w:p w14:paraId="787D3DA8" w14:textId="77777777" w:rsidR="00805543" w:rsidRPr="00805543" w:rsidRDefault="00805543" w:rsidP="0005135C">
            <w:pPr>
              <w:numPr>
                <w:ilvl w:val="0"/>
                <w:numId w:val="23"/>
              </w:numPr>
              <w:spacing w:after="120"/>
              <w:jc w:val="left"/>
              <w:textAlignment w:val="center"/>
              <w:rPr>
                <w:rFonts w:ascii="Calibri" w:eastAsia="Times New Roman" w:hAnsi="Calibri" w:cs="Calibri"/>
                <w:sz w:val="22"/>
              </w:rPr>
            </w:pPr>
            <w:r w:rsidRPr="00805543">
              <w:rPr>
                <w:rFonts w:ascii="Calibri" w:eastAsia="Times New Roman" w:hAnsi="Calibri" w:cs="Calibri"/>
                <w:sz w:val="22"/>
                <w:highlight w:val="green"/>
              </w:rPr>
              <w:t xml:space="preserve">When the target cell is a current serving cell (role switch) and the target TCI state in LTM cell switch command or SSB index indicated in PDCCH order is already on the </w:t>
            </w:r>
            <w:r w:rsidRPr="00805543">
              <w:rPr>
                <w:rFonts w:ascii="Calibri" w:eastAsia="Times New Roman" w:hAnsi="Calibri" w:cs="Calibri"/>
                <w:i/>
                <w:iCs/>
                <w:sz w:val="22"/>
                <w:highlight w:val="green"/>
              </w:rPr>
              <w:t>active TCI state list for that serving cell</w:t>
            </w:r>
            <w:r w:rsidRPr="00805543">
              <w:rPr>
                <w:rFonts w:ascii="Calibri" w:eastAsia="Times New Roman" w:hAnsi="Calibri" w:cs="Calibri"/>
                <w:sz w:val="22"/>
                <w:highlight w:val="green"/>
              </w:rPr>
              <w:t xml:space="preserve"> or on the </w:t>
            </w:r>
            <w:r w:rsidRPr="00805543">
              <w:rPr>
                <w:rFonts w:ascii="Calibri" w:eastAsia="Times New Roman" w:hAnsi="Calibri" w:cs="Calibri"/>
                <w:i/>
                <w:iCs/>
                <w:sz w:val="22"/>
                <w:highlight w:val="green"/>
              </w:rPr>
              <w:t>LTM candidate cell active TCI state list</w:t>
            </w:r>
            <w:r w:rsidRPr="00805543">
              <w:rPr>
                <w:rFonts w:ascii="Calibri" w:eastAsia="Times New Roman" w:hAnsi="Calibri" w:cs="Calibri"/>
                <w:sz w:val="22"/>
                <w:highlight w:val="green"/>
              </w:rPr>
              <w:t>, consider the target TCI state activated.</w:t>
            </w:r>
          </w:p>
          <w:p w14:paraId="48208CFE" w14:textId="77777777" w:rsidR="00805543" w:rsidRDefault="00805543" w:rsidP="005108CE"/>
        </w:tc>
      </w:tr>
    </w:tbl>
    <w:p w14:paraId="06CB59A0" w14:textId="77777777" w:rsidR="00805543" w:rsidRDefault="00805543" w:rsidP="005108CE"/>
    <w:p w14:paraId="38621592" w14:textId="284228F7" w:rsidR="000C56D1" w:rsidRDefault="005413C7" w:rsidP="005108CE">
      <w:r>
        <w:t>The agreement for issue 1-1-7 was not yet captured in the endorsed draft CR</w:t>
      </w:r>
      <w:r w:rsidR="000C56D1">
        <w:t>.</w:t>
      </w:r>
      <w:r w:rsidR="0081117D">
        <w:t xml:space="preserve"> We have included this agreement in our draft CR for this meeting in </w:t>
      </w:r>
      <w:r w:rsidR="00C21A73">
        <w:t>[3]</w:t>
      </w:r>
      <w:r w:rsidR="0081117D">
        <w:t>.</w:t>
      </w:r>
    </w:p>
    <w:p w14:paraId="75D62FFB" w14:textId="48154E56" w:rsidR="004E7987" w:rsidRDefault="004E7987" w:rsidP="004E7987">
      <w:pPr>
        <w:pStyle w:val="RAN4observation0"/>
      </w:pPr>
      <w:bookmarkStart w:id="6" w:name="_Toc149904395"/>
      <w:r>
        <w:t xml:space="preserve">The agreement related to serving cell active TCI state list in issue 1-1-7 </w:t>
      </w:r>
      <w:r w:rsidR="00DE0855">
        <w:t>is still to be captured in the LTM cell switch delay requirement.</w:t>
      </w:r>
      <w:bookmarkEnd w:id="6"/>
      <w:r>
        <w:t xml:space="preserve"> </w:t>
      </w:r>
    </w:p>
    <w:p w14:paraId="4807215D" w14:textId="572358DD" w:rsidR="006E62DF" w:rsidRDefault="00C21A73" w:rsidP="005108CE">
      <w:r>
        <w:t>Regarding the FFS point about whether TRS can also be used as the QCL source for TCI state</w:t>
      </w:r>
      <w:r w:rsidR="000D42CE">
        <w:t>, this discussion is in our understanding not finished in RAN1. Therefore, we prefer to leave this part FFS.</w:t>
      </w:r>
    </w:p>
    <w:p w14:paraId="7BFE82BF" w14:textId="4026F06D" w:rsidR="000D42CE" w:rsidRDefault="000D42CE" w:rsidP="000D42CE">
      <w:pPr>
        <w:pStyle w:val="RAN4observation0"/>
      </w:pPr>
      <w:bookmarkStart w:id="7" w:name="_Toc149904396"/>
      <w:r>
        <w:t>RAN1 is still discussing using TRS as QCL source for LTM candidate cell TCI state.</w:t>
      </w:r>
      <w:r w:rsidR="004E7987">
        <w:t xml:space="preserve"> This part should be FFS in RAN4 until RAN1 concludes whether TRS can be used.</w:t>
      </w:r>
      <w:bookmarkEnd w:id="7"/>
    </w:p>
    <w:p w14:paraId="5B80B096" w14:textId="0F847414" w:rsidR="005108CE" w:rsidRDefault="005108CE" w:rsidP="005108CE">
      <w:pPr>
        <w:pStyle w:val="RAN4H2"/>
      </w:pPr>
      <w:r>
        <w:t>T</w:t>
      </w:r>
      <w:r w:rsidR="0097019E" w:rsidRPr="0097019E">
        <w:rPr>
          <w:vertAlign w:val="subscript"/>
        </w:rPr>
        <w:t>LTM-RRC-processing</w:t>
      </w:r>
      <w:r w:rsidR="0097019E">
        <w:t>/</w:t>
      </w:r>
      <w:proofErr w:type="spellStart"/>
      <w:r w:rsidR="0097019E">
        <w:t>T</w:t>
      </w:r>
      <w:r w:rsidR="0097019E" w:rsidRPr="0097019E">
        <w:rPr>
          <w:vertAlign w:val="subscript"/>
        </w:rPr>
        <w:t>execution</w:t>
      </w:r>
      <w:proofErr w:type="spellEnd"/>
    </w:p>
    <w:p w14:paraId="6B85DE1A" w14:textId="5C8693C7" w:rsidR="005A36E8" w:rsidRDefault="009B7153" w:rsidP="00B44F2D">
      <w:r>
        <w:t>RAN4 agreed to introduce an additional parameter to cover the time for ASN.1 decoding and validity/compliance check during cell switch command.</w:t>
      </w:r>
      <w:r w:rsidR="002530A2">
        <w:t xml:space="preserve"> It was also agreed to introduce an optional UE capability </w:t>
      </w:r>
      <w:r w:rsidR="00A412B9">
        <w:t>for early ASN.1 decoding and validity/compliance check before the cell switch command.</w:t>
      </w:r>
    </w:p>
    <w:tbl>
      <w:tblPr>
        <w:tblStyle w:val="TableGrid"/>
        <w:tblW w:w="0" w:type="auto"/>
        <w:tblLook w:val="04A0" w:firstRow="1" w:lastRow="0" w:firstColumn="1" w:lastColumn="0" w:noHBand="0" w:noVBand="1"/>
      </w:tblPr>
      <w:tblGrid>
        <w:gridCol w:w="9617"/>
      </w:tblGrid>
      <w:tr w:rsidR="00A412B9" w14:paraId="20883976" w14:textId="77777777" w:rsidTr="008D3E62">
        <w:tc>
          <w:tcPr>
            <w:tcW w:w="9617" w:type="dxa"/>
          </w:tcPr>
          <w:p w14:paraId="4E457AA7" w14:textId="77777777" w:rsidR="00A412B9" w:rsidRPr="005108CE" w:rsidRDefault="00A412B9" w:rsidP="008D3E62">
            <w:pPr>
              <w:spacing w:after="120"/>
              <w:jc w:val="left"/>
              <w:rPr>
                <w:rFonts w:ascii="Calibri" w:eastAsia="Times New Roman" w:hAnsi="Calibri" w:cs="Calibri"/>
                <w:sz w:val="22"/>
              </w:rPr>
            </w:pPr>
            <w:r w:rsidRPr="005108CE">
              <w:rPr>
                <w:rFonts w:ascii="Calibri" w:eastAsia="Times New Roman" w:hAnsi="Calibri" w:cs="Calibri"/>
                <w:b/>
                <w:bCs/>
                <w:sz w:val="22"/>
                <w:u w:val="single"/>
              </w:rPr>
              <w:t>Issue 3-2-5-1: Execution time</w:t>
            </w:r>
          </w:p>
          <w:p w14:paraId="5A7F49E3" w14:textId="77777777" w:rsidR="00A412B9" w:rsidRPr="005108CE" w:rsidRDefault="00A412B9" w:rsidP="008D3E62">
            <w:pPr>
              <w:spacing w:after="120"/>
              <w:jc w:val="left"/>
              <w:rPr>
                <w:rFonts w:ascii="Calibri" w:eastAsia="Times New Roman" w:hAnsi="Calibri" w:cs="Calibri"/>
                <w:color w:val="0070C0"/>
                <w:sz w:val="22"/>
              </w:rPr>
            </w:pPr>
            <w:r w:rsidRPr="005108CE">
              <w:rPr>
                <w:rFonts w:ascii="Calibri" w:eastAsia="Times New Roman" w:hAnsi="Calibri" w:cs="Calibri"/>
                <w:i/>
                <w:iCs/>
                <w:color w:val="0070C0"/>
                <w:sz w:val="22"/>
              </w:rPr>
              <w:t>Ad Hoc agreement</w:t>
            </w:r>
          </w:p>
          <w:p w14:paraId="6042658D" w14:textId="77777777" w:rsidR="00A412B9" w:rsidRPr="005108CE" w:rsidRDefault="00A412B9" w:rsidP="008D3E62">
            <w:pPr>
              <w:jc w:val="left"/>
              <w:rPr>
                <w:rFonts w:ascii="Calibri" w:eastAsia="Times New Roman" w:hAnsi="Calibri" w:cs="Calibri"/>
                <w:sz w:val="22"/>
              </w:rPr>
            </w:pPr>
            <w:r w:rsidRPr="005108CE">
              <w:rPr>
                <w:rFonts w:ascii="Calibri" w:eastAsia="Times New Roman" w:hAnsi="Calibri" w:cs="Calibri"/>
                <w:sz w:val="22"/>
              </w:rPr>
              <w:t> </w:t>
            </w:r>
          </w:p>
          <w:p w14:paraId="6E3EB520" w14:textId="77777777" w:rsidR="00A412B9" w:rsidRPr="005108CE" w:rsidRDefault="00A412B9" w:rsidP="008D3E62">
            <w:pPr>
              <w:spacing w:after="120"/>
              <w:jc w:val="left"/>
              <w:rPr>
                <w:rFonts w:ascii="Calibri" w:eastAsia="Times New Roman" w:hAnsi="Calibri" w:cs="Calibri"/>
                <w:sz w:val="22"/>
              </w:rPr>
            </w:pPr>
            <w:r w:rsidRPr="005108CE">
              <w:rPr>
                <w:rFonts w:ascii="Calibri" w:eastAsia="Times New Roman" w:hAnsi="Calibri" w:cs="Calibri"/>
                <w:sz w:val="22"/>
                <w:highlight w:val="green"/>
              </w:rPr>
              <w:t>&lt;</w:t>
            </w:r>
            <w:r w:rsidRPr="005108CE">
              <w:rPr>
                <w:rFonts w:ascii="Calibri" w:eastAsia="Times New Roman" w:hAnsi="Calibri" w:cs="Calibri"/>
                <w:b/>
                <w:bCs/>
                <w:sz w:val="22"/>
                <w:highlight w:val="green"/>
              </w:rPr>
              <w:t xml:space="preserve"> Agreement </w:t>
            </w:r>
            <w:r w:rsidRPr="005108CE">
              <w:rPr>
                <w:rFonts w:ascii="Calibri" w:eastAsia="Times New Roman" w:hAnsi="Calibri" w:cs="Calibri"/>
                <w:sz w:val="22"/>
                <w:highlight w:val="green"/>
              </w:rPr>
              <w:t>&gt;:</w:t>
            </w:r>
          </w:p>
          <w:p w14:paraId="76B783D5" w14:textId="77777777" w:rsidR="00A412B9" w:rsidRPr="005108CE" w:rsidRDefault="00A412B9" w:rsidP="0005135C">
            <w:pPr>
              <w:numPr>
                <w:ilvl w:val="0"/>
                <w:numId w:val="19"/>
              </w:numPr>
              <w:spacing w:after="120"/>
              <w:jc w:val="left"/>
              <w:textAlignment w:val="center"/>
              <w:rPr>
                <w:rFonts w:ascii="Calibri" w:eastAsia="Times New Roman" w:hAnsi="Calibri" w:cs="Calibri"/>
                <w:sz w:val="22"/>
              </w:rPr>
            </w:pPr>
            <w:r w:rsidRPr="005108CE">
              <w:rPr>
                <w:rFonts w:ascii="Calibri" w:eastAsia="Times New Roman" w:hAnsi="Calibri" w:cs="Calibri"/>
                <w:sz w:val="21"/>
                <w:szCs w:val="21"/>
                <w:highlight w:val="green"/>
              </w:rPr>
              <w:t>From RAN4 perspective, introduce new optional UE capability for early ASN.1 decoding and validity/compliance check [of LTM candidates]. FFS on capability design.</w:t>
            </w:r>
          </w:p>
          <w:p w14:paraId="79498247" w14:textId="77777777" w:rsidR="00A412B9" w:rsidRPr="005108CE" w:rsidRDefault="00A412B9" w:rsidP="0005135C">
            <w:pPr>
              <w:numPr>
                <w:ilvl w:val="1"/>
                <w:numId w:val="19"/>
              </w:numPr>
              <w:spacing w:after="120"/>
              <w:jc w:val="left"/>
              <w:textAlignment w:val="center"/>
              <w:rPr>
                <w:rFonts w:ascii="Calibri" w:eastAsia="Times New Roman" w:hAnsi="Calibri" w:cs="Calibri"/>
                <w:sz w:val="22"/>
              </w:rPr>
            </w:pPr>
            <w:r w:rsidRPr="005108CE">
              <w:rPr>
                <w:rFonts w:ascii="Calibri" w:eastAsia="Times New Roman" w:hAnsi="Calibri" w:cs="Calibri"/>
                <w:sz w:val="21"/>
                <w:szCs w:val="21"/>
                <w:highlight w:val="green"/>
              </w:rPr>
              <w:t xml:space="preserve">For UE not supporting [early ASN.1 decoding and validity/compliance check], </w:t>
            </w:r>
            <w:proofErr w:type="spellStart"/>
            <w:r w:rsidRPr="005108CE">
              <w:rPr>
                <w:rFonts w:ascii="Calibri" w:eastAsia="Times New Roman" w:hAnsi="Calibri" w:cs="Calibri"/>
                <w:sz w:val="21"/>
                <w:szCs w:val="21"/>
                <w:highlight w:val="green"/>
              </w:rPr>
              <w:t>T</w:t>
            </w:r>
            <w:r w:rsidRPr="005108CE">
              <w:rPr>
                <w:rFonts w:ascii="Calibri" w:eastAsia="Times New Roman" w:hAnsi="Calibri" w:cs="Calibri"/>
                <w:sz w:val="21"/>
                <w:szCs w:val="21"/>
                <w:highlight w:val="green"/>
                <w:vertAlign w:val="subscript"/>
              </w:rPr>
              <w:t>execution_time</w:t>
            </w:r>
            <w:proofErr w:type="spellEnd"/>
            <w:r w:rsidRPr="005108CE">
              <w:rPr>
                <w:rFonts w:ascii="Calibri" w:eastAsia="Times New Roman" w:hAnsi="Calibri" w:cs="Calibri"/>
                <w:sz w:val="21"/>
                <w:szCs w:val="21"/>
                <w:highlight w:val="green"/>
              </w:rPr>
              <w:t>/</w:t>
            </w:r>
            <w:proofErr w:type="spellStart"/>
            <w:r w:rsidRPr="005108CE">
              <w:rPr>
                <w:rFonts w:ascii="Calibri" w:eastAsia="Times New Roman" w:hAnsi="Calibri" w:cs="Calibri"/>
                <w:sz w:val="21"/>
                <w:szCs w:val="21"/>
                <w:highlight w:val="green"/>
              </w:rPr>
              <w:t>T</w:t>
            </w:r>
            <w:r w:rsidRPr="005108CE">
              <w:rPr>
                <w:rFonts w:ascii="Calibri" w:eastAsia="Times New Roman" w:hAnsi="Calibri" w:cs="Calibri"/>
                <w:sz w:val="21"/>
                <w:szCs w:val="21"/>
                <w:highlight w:val="green"/>
                <w:vertAlign w:val="subscript"/>
              </w:rPr>
              <w:t>target</w:t>
            </w:r>
            <w:proofErr w:type="spellEnd"/>
            <w:r w:rsidRPr="005108CE">
              <w:rPr>
                <w:rFonts w:ascii="Calibri" w:eastAsia="Times New Roman" w:hAnsi="Calibri" w:cs="Calibri"/>
                <w:sz w:val="21"/>
                <w:szCs w:val="21"/>
                <w:highlight w:val="green"/>
                <w:vertAlign w:val="subscript"/>
              </w:rPr>
              <w:t>-RRC-processing</w:t>
            </w:r>
            <w:r w:rsidRPr="005108CE">
              <w:rPr>
                <w:rFonts w:ascii="Calibri" w:eastAsia="Times New Roman" w:hAnsi="Calibri" w:cs="Calibri"/>
                <w:sz w:val="21"/>
                <w:szCs w:val="21"/>
                <w:highlight w:val="green"/>
              </w:rPr>
              <w:t xml:space="preserve"> for ASN.1 decoding and validity/compliance check of target cell configuration should be added in the cell switch delay requirements. The value is 10ms.</w:t>
            </w:r>
          </w:p>
          <w:p w14:paraId="1417E065" w14:textId="77777777" w:rsidR="00A412B9" w:rsidRPr="005108CE" w:rsidRDefault="00A412B9" w:rsidP="0005135C">
            <w:pPr>
              <w:numPr>
                <w:ilvl w:val="0"/>
                <w:numId w:val="19"/>
              </w:numPr>
              <w:spacing w:after="120"/>
              <w:jc w:val="left"/>
              <w:textAlignment w:val="center"/>
              <w:rPr>
                <w:rFonts w:ascii="Calibri" w:eastAsia="Times New Roman" w:hAnsi="Calibri" w:cs="Calibri"/>
                <w:sz w:val="22"/>
              </w:rPr>
            </w:pPr>
            <w:r w:rsidRPr="005108CE">
              <w:rPr>
                <w:rFonts w:ascii="Calibri" w:eastAsia="Times New Roman" w:hAnsi="Calibri" w:cs="Calibri"/>
                <w:sz w:val="21"/>
                <w:szCs w:val="21"/>
                <w:highlight w:val="green"/>
              </w:rPr>
              <w:t>Further discuss the conditions that the UE with new capability can work with early ASN.1 decoding and validity/compliance check.</w:t>
            </w:r>
          </w:p>
          <w:p w14:paraId="73084D3E" w14:textId="77777777" w:rsidR="00A412B9" w:rsidRDefault="00A412B9" w:rsidP="008D3E62"/>
        </w:tc>
      </w:tr>
    </w:tbl>
    <w:p w14:paraId="79A856E5" w14:textId="77777777" w:rsidR="00A412B9" w:rsidRDefault="00A412B9" w:rsidP="00B44F2D"/>
    <w:p w14:paraId="7117D7E4" w14:textId="14B0C037" w:rsidR="00A412B9" w:rsidRDefault="00A412B9" w:rsidP="002530A2">
      <w:r>
        <w:rPr>
          <w:szCs w:val="20"/>
          <w:lang w:val="en-GB"/>
        </w:rPr>
        <w:t xml:space="preserve">What is left open is that if the UE supports the capability </w:t>
      </w:r>
      <w:r>
        <w:t>for early ASN.1 decoding and validity/compliance check, when and to which cells is the UE expected to perform this step. There are two options:</w:t>
      </w:r>
    </w:p>
    <w:p w14:paraId="0BF7F0CE" w14:textId="21F335FA" w:rsidR="00A412B9" w:rsidRDefault="00A412B9" w:rsidP="00D136D5">
      <w:pPr>
        <w:ind w:left="720"/>
      </w:pPr>
      <w:r>
        <w:t>1. UE performs early ASN.1 decoding and validity/compliance check</w:t>
      </w:r>
      <w:r w:rsidR="00955E34">
        <w:t xml:space="preserve"> after receiving LTM candidate cell RRC configuration for </w:t>
      </w:r>
      <w:r w:rsidR="00955E34" w:rsidRPr="00D136D5">
        <w:rPr>
          <w:b/>
          <w:bCs/>
        </w:rPr>
        <w:t>all</w:t>
      </w:r>
      <w:r w:rsidR="00955E34">
        <w:t xml:space="preserve"> </w:t>
      </w:r>
      <w:r w:rsidR="00955E34" w:rsidRPr="00D136D5">
        <w:rPr>
          <w:b/>
          <w:bCs/>
        </w:rPr>
        <w:t>candidate cells</w:t>
      </w:r>
      <w:r w:rsidR="00955E34">
        <w:t xml:space="preserve"> in the configuration.</w:t>
      </w:r>
    </w:p>
    <w:p w14:paraId="315800A0" w14:textId="1E4DE791" w:rsidR="00955E34" w:rsidRDefault="00955E34" w:rsidP="00D136D5">
      <w:pPr>
        <w:ind w:left="720"/>
      </w:pPr>
      <w:r>
        <w:t xml:space="preserve">2. UE performs early ASN.1 decoding and validity/compliance check for only </w:t>
      </w:r>
      <w:r w:rsidRPr="00D136D5">
        <w:rPr>
          <w:b/>
          <w:bCs/>
        </w:rPr>
        <w:t>some of the candidate cells</w:t>
      </w:r>
      <w:r w:rsidR="00D71F0E" w:rsidRPr="00D136D5">
        <w:rPr>
          <w:b/>
          <w:bCs/>
        </w:rPr>
        <w:t xml:space="preserve"> e.g. for the most probable target cell</w:t>
      </w:r>
      <w:r w:rsidR="00D71F0E">
        <w:t>.</w:t>
      </w:r>
    </w:p>
    <w:p w14:paraId="3E4CD46C" w14:textId="3D004C20" w:rsidR="00D71F0E" w:rsidRDefault="00D71F0E" w:rsidP="002530A2">
      <w:r>
        <w:t>RAN4 should discuss whether 1. or 2. is the intention of the new UE capability</w:t>
      </w:r>
      <w:r w:rsidR="002E2CBB">
        <w:t>, or whether both can be supported.</w:t>
      </w:r>
    </w:p>
    <w:p w14:paraId="7FD46DC2" w14:textId="07E30593" w:rsidR="002E2CBB" w:rsidRDefault="002E2CBB" w:rsidP="002E2CBB">
      <w:pPr>
        <w:pStyle w:val="RAN4proposal"/>
        <w:rPr>
          <w:lang w:val="en-GB"/>
        </w:rPr>
      </w:pPr>
      <w:bookmarkStart w:id="8" w:name="_Toc149904397"/>
      <w:r>
        <w:rPr>
          <w:lang w:val="en-GB"/>
        </w:rPr>
        <w:t>RAN4 to discuss whether</w:t>
      </w:r>
      <w:r w:rsidR="00B665A4">
        <w:rPr>
          <w:lang w:val="en-GB"/>
        </w:rPr>
        <w:t xml:space="preserve"> a UE supporting the capability for </w:t>
      </w:r>
      <w:r w:rsidR="00B665A4">
        <w:t xml:space="preserve">early ASN.1 decoding and validity/compliance check shall perform early ASN.1 decoding and validity/compliance check for all candidate cells or just </w:t>
      </w:r>
      <w:r w:rsidR="00C57CF0">
        <w:t>for the (most probable) target cell</w:t>
      </w:r>
      <w:r w:rsidR="00362E94">
        <w:t>.</w:t>
      </w:r>
      <w:bookmarkEnd w:id="8"/>
    </w:p>
    <w:p w14:paraId="0A976678" w14:textId="0069ABBA" w:rsidR="002530A2" w:rsidRPr="006573E1" w:rsidRDefault="002530A2" w:rsidP="002530A2">
      <w:pPr>
        <w:rPr>
          <w:szCs w:val="20"/>
          <w:lang w:val="en-GB"/>
        </w:rPr>
      </w:pPr>
      <w:r w:rsidRPr="006573E1">
        <w:rPr>
          <w:szCs w:val="20"/>
          <w:lang w:val="en-GB"/>
        </w:rPr>
        <w:t xml:space="preserve">We think that in the most common case, when early TCI state activation and/or early TA acquisition triggered by PDCCH order are part of the LTM procedure before the cell switch, network will </w:t>
      </w:r>
      <w:r w:rsidR="005A186A">
        <w:rPr>
          <w:szCs w:val="20"/>
          <w:lang w:val="en-GB"/>
        </w:rPr>
        <w:t>initiate</w:t>
      </w:r>
      <w:r w:rsidRPr="006573E1">
        <w:rPr>
          <w:szCs w:val="20"/>
          <w:lang w:val="en-GB"/>
        </w:rPr>
        <w:t xml:space="preserve"> these steps only for the </w:t>
      </w:r>
      <w:r>
        <w:rPr>
          <w:szCs w:val="20"/>
          <w:lang w:val="en-GB"/>
        </w:rPr>
        <w:t xml:space="preserve">candidate cell that will </w:t>
      </w:r>
      <w:r w:rsidR="002F3543">
        <w:rPr>
          <w:szCs w:val="20"/>
          <w:lang w:val="en-GB"/>
        </w:rPr>
        <w:t xml:space="preserve">most likely </w:t>
      </w:r>
      <w:r>
        <w:rPr>
          <w:szCs w:val="20"/>
          <w:lang w:val="en-GB"/>
        </w:rPr>
        <w:t xml:space="preserve">be </w:t>
      </w:r>
      <w:r w:rsidR="00B53284">
        <w:rPr>
          <w:szCs w:val="20"/>
          <w:lang w:val="en-GB"/>
        </w:rPr>
        <w:t xml:space="preserve">the </w:t>
      </w:r>
      <w:r w:rsidRPr="006573E1">
        <w:rPr>
          <w:szCs w:val="20"/>
          <w:lang w:val="en-GB"/>
        </w:rPr>
        <w:t>target cell</w:t>
      </w:r>
      <w:r>
        <w:rPr>
          <w:szCs w:val="20"/>
          <w:lang w:val="en-GB"/>
        </w:rPr>
        <w:t xml:space="preserve"> in the LTM cell switch command</w:t>
      </w:r>
      <w:r w:rsidRPr="006573E1">
        <w:rPr>
          <w:szCs w:val="20"/>
          <w:lang w:val="en-GB"/>
        </w:rPr>
        <w:t>. Therefore, if the UE receives early TCI state activation and/or PDCCH order for a candidate cell, the UE may</w:t>
      </w:r>
      <w:r w:rsidR="00F01BD7">
        <w:rPr>
          <w:szCs w:val="20"/>
          <w:lang w:val="en-GB"/>
        </w:rPr>
        <w:t xml:space="preserve"> expect</w:t>
      </w:r>
      <w:r w:rsidRPr="006573E1">
        <w:rPr>
          <w:szCs w:val="20"/>
          <w:lang w:val="en-GB"/>
        </w:rPr>
        <w:t xml:space="preserve"> that </w:t>
      </w:r>
      <w:r w:rsidR="005A186A">
        <w:rPr>
          <w:szCs w:val="20"/>
          <w:lang w:val="en-GB"/>
        </w:rPr>
        <w:t xml:space="preserve">the </w:t>
      </w:r>
      <w:r w:rsidR="002F3543">
        <w:rPr>
          <w:szCs w:val="20"/>
          <w:lang w:val="en-GB"/>
        </w:rPr>
        <w:t>candidate</w:t>
      </w:r>
      <w:r w:rsidR="005A186A">
        <w:rPr>
          <w:szCs w:val="20"/>
          <w:lang w:val="en-GB"/>
        </w:rPr>
        <w:t xml:space="preserve"> cell </w:t>
      </w:r>
      <w:r w:rsidR="00970F43">
        <w:rPr>
          <w:szCs w:val="20"/>
          <w:lang w:val="en-GB"/>
        </w:rPr>
        <w:t>in these steps</w:t>
      </w:r>
      <w:r w:rsidRPr="006573E1">
        <w:rPr>
          <w:szCs w:val="20"/>
          <w:lang w:val="en-GB"/>
        </w:rPr>
        <w:t xml:space="preserve"> will be the target cell in the </w:t>
      </w:r>
      <w:r w:rsidR="009F739F">
        <w:rPr>
          <w:szCs w:val="20"/>
          <w:lang w:val="en-GB"/>
        </w:rPr>
        <w:t xml:space="preserve">coming </w:t>
      </w:r>
      <w:r w:rsidRPr="006573E1">
        <w:rPr>
          <w:szCs w:val="20"/>
          <w:lang w:val="en-GB"/>
        </w:rPr>
        <w:t xml:space="preserve">LTM cell switch command. Therefore, </w:t>
      </w:r>
      <w:r w:rsidR="00970F43">
        <w:rPr>
          <w:szCs w:val="20"/>
          <w:lang w:val="en-GB"/>
        </w:rPr>
        <w:t xml:space="preserve">if the UE </w:t>
      </w:r>
      <w:r w:rsidR="005B4CD7">
        <w:rPr>
          <w:szCs w:val="20"/>
          <w:lang w:val="en-GB"/>
        </w:rPr>
        <w:t>can only perform</w:t>
      </w:r>
      <w:r w:rsidR="00970F43">
        <w:rPr>
          <w:szCs w:val="20"/>
          <w:lang w:val="en-GB"/>
        </w:rPr>
        <w:t xml:space="preserve"> </w:t>
      </w:r>
      <w:r w:rsidR="00970F43">
        <w:t>early ASN.1 decoding and validity/compliance check</w:t>
      </w:r>
      <w:r w:rsidR="00970F43">
        <w:rPr>
          <w:szCs w:val="20"/>
          <w:lang w:val="en-GB"/>
        </w:rPr>
        <w:t xml:space="preserve"> </w:t>
      </w:r>
      <w:r w:rsidR="00C7606C">
        <w:rPr>
          <w:szCs w:val="20"/>
          <w:lang w:val="en-GB"/>
        </w:rPr>
        <w:t xml:space="preserve">for the most potential target cell, </w:t>
      </w:r>
      <w:r w:rsidR="00970F43">
        <w:rPr>
          <w:szCs w:val="20"/>
          <w:lang w:val="en-GB"/>
        </w:rPr>
        <w:t xml:space="preserve">the </w:t>
      </w:r>
      <w:r w:rsidRPr="006573E1">
        <w:rPr>
          <w:szCs w:val="20"/>
          <w:lang w:val="en-GB"/>
        </w:rPr>
        <w:t xml:space="preserve">UE can </w:t>
      </w:r>
      <w:r w:rsidR="005F132D">
        <w:rPr>
          <w:szCs w:val="20"/>
          <w:lang w:val="en-GB"/>
        </w:rPr>
        <w:t>do</w:t>
      </w:r>
      <w:r w:rsidR="00F01BD7">
        <w:rPr>
          <w:szCs w:val="20"/>
          <w:lang w:val="en-GB"/>
        </w:rPr>
        <w:t xml:space="preserve"> </w:t>
      </w:r>
      <w:r w:rsidR="005F132D">
        <w:rPr>
          <w:szCs w:val="20"/>
          <w:lang w:val="en-GB"/>
        </w:rPr>
        <w:t>this</w:t>
      </w:r>
      <w:r w:rsidR="00C7606C" w:rsidRPr="006573E1">
        <w:rPr>
          <w:szCs w:val="20"/>
          <w:lang w:val="en-GB"/>
        </w:rPr>
        <w:t xml:space="preserve"> </w:t>
      </w:r>
      <w:r w:rsidRPr="006573E1">
        <w:rPr>
          <w:szCs w:val="20"/>
          <w:lang w:val="en-GB"/>
        </w:rPr>
        <w:t xml:space="preserve">for the target cell when receiving the early TCI state activation command or PDCCH order. </w:t>
      </w:r>
    </w:p>
    <w:p w14:paraId="6D42C16A" w14:textId="50ABBA10" w:rsidR="002530A2" w:rsidRPr="006573E1" w:rsidRDefault="00620310" w:rsidP="002530A2">
      <w:pPr>
        <w:pStyle w:val="RAN4proposal"/>
        <w:rPr>
          <w:lang w:val="en-GB"/>
        </w:rPr>
      </w:pPr>
      <w:bookmarkStart w:id="9" w:name="_Toc149904398"/>
      <w:r>
        <w:rPr>
          <w:szCs w:val="20"/>
          <w:lang w:val="en-GB"/>
        </w:rPr>
        <w:t xml:space="preserve">The UE </w:t>
      </w:r>
      <w:r w:rsidR="00AF764D">
        <w:rPr>
          <w:szCs w:val="20"/>
          <w:lang w:val="en-GB"/>
        </w:rPr>
        <w:t xml:space="preserve">supporting capability for </w:t>
      </w:r>
      <w:r w:rsidR="00AF764D">
        <w:t>early ASN.1 decoding and validity/compliance check</w:t>
      </w:r>
      <w:r w:rsidR="00AF764D">
        <w:rPr>
          <w:szCs w:val="20"/>
          <w:lang w:val="en-GB"/>
        </w:rPr>
        <w:t xml:space="preserve"> </w:t>
      </w:r>
      <w:r>
        <w:rPr>
          <w:szCs w:val="20"/>
          <w:lang w:val="en-GB"/>
        </w:rPr>
        <w:t xml:space="preserve">can perform </w:t>
      </w:r>
      <w:r w:rsidR="00AF764D">
        <w:t>these steps before the cell switch command</w:t>
      </w:r>
      <w:r w:rsidRPr="006573E1">
        <w:rPr>
          <w:szCs w:val="20"/>
          <w:lang w:val="en-GB"/>
        </w:rPr>
        <w:t xml:space="preserve"> </w:t>
      </w:r>
      <w:r>
        <w:rPr>
          <w:szCs w:val="20"/>
          <w:lang w:val="en-GB"/>
        </w:rPr>
        <w:t>only</w:t>
      </w:r>
      <w:r w:rsidR="00776916">
        <w:rPr>
          <w:szCs w:val="20"/>
          <w:lang w:val="en-GB"/>
        </w:rPr>
        <w:t xml:space="preserve"> for the candidate cell for which TCI state is activated or early RACH is initiated by PDCCH order.</w:t>
      </w:r>
      <w:bookmarkEnd w:id="9"/>
    </w:p>
    <w:p w14:paraId="09300EF0" w14:textId="4A93528C" w:rsidR="005108CE" w:rsidRPr="00A74F5B" w:rsidRDefault="005108CE" w:rsidP="005108CE">
      <w:pPr>
        <w:pStyle w:val="RAN4H2"/>
      </w:pPr>
      <w:r w:rsidRPr="00A74F5B">
        <w:t>PL-RS measurement</w:t>
      </w:r>
    </w:p>
    <w:tbl>
      <w:tblPr>
        <w:tblStyle w:val="TableGrid"/>
        <w:tblW w:w="0" w:type="auto"/>
        <w:tblLook w:val="04A0" w:firstRow="1" w:lastRow="0" w:firstColumn="1" w:lastColumn="0" w:noHBand="0" w:noVBand="1"/>
      </w:tblPr>
      <w:tblGrid>
        <w:gridCol w:w="9617"/>
      </w:tblGrid>
      <w:tr w:rsidR="00B44F2D" w14:paraId="7494132C" w14:textId="77777777" w:rsidTr="00B44F2D">
        <w:tc>
          <w:tcPr>
            <w:tcW w:w="9617" w:type="dxa"/>
          </w:tcPr>
          <w:p w14:paraId="6FB06A81" w14:textId="77777777" w:rsidR="00B44F2D" w:rsidRPr="005108CE" w:rsidRDefault="00B44F2D" w:rsidP="00B44F2D">
            <w:pPr>
              <w:spacing w:after="120"/>
              <w:jc w:val="left"/>
              <w:rPr>
                <w:rFonts w:ascii="Calibri" w:eastAsia="Times New Roman" w:hAnsi="Calibri" w:cs="Calibri"/>
                <w:sz w:val="22"/>
              </w:rPr>
            </w:pPr>
            <w:r w:rsidRPr="005108CE">
              <w:rPr>
                <w:rFonts w:ascii="Calibri" w:eastAsia="Times New Roman" w:hAnsi="Calibri" w:cs="Calibri"/>
                <w:b/>
                <w:bCs/>
                <w:sz w:val="22"/>
                <w:u w:val="single"/>
              </w:rPr>
              <w:t>Issue 3-2-4-1: Extra time for PL-RS measurement</w:t>
            </w:r>
          </w:p>
          <w:p w14:paraId="5DF2C9E0" w14:textId="77777777" w:rsidR="00B44F2D" w:rsidRPr="005108CE" w:rsidRDefault="00B44F2D" w:rsidP="00B44F2D">
            <w:pPr>
              <w:jc w:val="left"/>
              <w:rPr>
                <w:rFonts w:ascii="Calibri" w:eastAsia="Times New Roman" w:hAnsi="Calibri" w:cs="Calibri"/>
                <w:sz w:val="22"/>
              </w:rPr>
            </w:pPr>
            <w:r w:rsidRPr="005108CE">
              <w:rPr>
                <w:rFonts w:ascii="Calibri" w:eastAsia="Times New Roman" w:hAnsi="Calibri" w:cs="Calibri"/>
                <w:b/>
                <w:bCs/>
                <w:sz w:val="22"/>
              </w:rPr>
              <w:t xml:space="preserve">&lt;Way Forward&gt; </w:t>
            </w:r>
            <w:r w:rsidRPr="005108CE">
              <w:rPr>
                <w:rFonts w:ascii="Calibri" w:eastAsia="Times New Roman" w:hAnsi="Calibri" w:cs="Calibri"/>
                <w:sz w:val="22"/>
              </w:rPr>
              <w:t>FFS the following options:</w:t>
            </w:r>
          </w:p>
          <w:p w14:paraId="46378FAF" w14:textId="77777777" w:rsidR="00B44F2D" w:rsidRPr="005108CE" w:rsidRDefault="00B44F2D" w:rsidP="0005135C">
            <w:pPr>
              <w:numPr>
                <w:ilvl w:val="0"/>
                <w:numId w:val="18"/>
              </w:numPr>
              <w:spacing w:after="120"/>
              <w:jc w:val="left"/>
              <w:textAlignment w:val="center"/>
              <w:rPr>
                <w:rFonts w:ascii="Calibri" w:eastAsia="Times New Roman" w:hAnsi="Calibri" w:cs="Calibri"/>
                <w:sz w:val="22"/>
              </w:rPr>
            </w:pPr>
            <w:r w:rsidRPr="005108CE">
              <w:rPr>
                <w:rFonts w:ascii="Calibri" w:eastAsia="Times New Roman" w:hAnsi="Calibri" w:cs="Calibri"/>
                <w:sz w:val="22"/>
              </w:rPr>
              <w:t xml:space="preserve">Option 1 (MTK): </w:t>
            </w:r>
          </w:p>
          <w:p w14:paraId="5C900956" w14:textId="77777777" w:rsidR="00B44F2D" w:rsidRPr="005108CE" w:rsidRDefault="00B44F2D" w:rsidP="0005135C">
            <w:pPr>
              <w:numPr>
                <w:ilvl w:val="1"/>
                <w:numId w:val="18"/>
              </w:numPr>
              <w:spacing w:after="120"/>
              <w:jc w:val="left"/>
              <w:textAlignment w:val="center"/>
              <w:rPr>
                <w:rFonts w:ascii="Calibri" w:eastAsia="Times New Roman" w:hAnsi="Calibri" w:cs="Calibri"/>
                <w:sz w:val="22"/>
              </w:rPr>
            </w:pPr>
            <w:r w:rsidRPr="005108CE">
              <w:rPr>
                <w:rFonts w:ascii="Calibri" w:eastAsia="Times New Roman" w:hAnsi="Calibri" w:cs="Calibri"/>
                <w:sz w:val="22"/>
              </w:rPr>
              <w:t xml:space="preserve">For </w:t>
            </w:r>
            <w:proofErr w:type="spellStart"/>
            <w:r w:rsidRPr="005108CE">
              <w:rPr>
                <w:rFonts w:ascii="Calibri" w:eastAsia="Times New Roman" w:hAnsi="Calibri" w:cs="Calibri"/>
                <w:sz w:val="22"/>
              </w:rPr>
              <w:t>SpCell</w:t>
            </w:r>
            <w:proofErr w:type="spellEnd"/>
            <w:r w:rsidRPr="005108CE">
              <w:rPr>
                <w:rFonts w:ascii="Calibri" w:eastAsia="Times New Roman" w:hAnsi="Calibri" w:cs="Calibri"/>
                <w:sz w:val="22"/>
              </w:rPr>
              <w:t xml:space="preserve"> switch delay, the PL-RS to use should be one of the SSBs UE performs L1-RSRP measurement on.</w:t>
            </w:r>
          </w:p>
          <w:p w14:paraId="1CC2FD23" w14:textId="77777777" w:rsidR="00B44F2D" w:rsidRPr="005108CE" w:rsidRDefault="00B44F2D" w:rsidP="0005135C">
            <w:pPr>
              <w:numPr>
                <w:ilvl w:val="1"/>
                <w:numId w:val="18"/>
              </w:numPr>
              <w:spacing w:after="120"/>
              <w:jc w:val="left"/>
              <w:textAlignment w:val="center"/>
              <w:rPr>
                <w:rFonts w:ascii="Calibri" w:eastAsia="Times New Roman" w:hAnsi="Calibri" w:cs="Calibri"/>
                <w:sz w:val="22"/>
              </w:rPr>
            </w:pPr>
            <w:r w:rsidRPr="005108CE">
              <w:rPr>
                <w:rFonts w:ascii="Calibri" w:eastAsia="Times New Roman" w:hAnsi="Calibri" w:cs="Calibri"/>
                <w:sz w:val="22"/>
              </w:rPr>
              <w:t xml:space="preserve">For </w:t>
            </w:r>
            <w:proofErr w:type="spellStart"/>
            <w:r w:rsidRPr="005108CE">
              <w:rPr>
                <w:rFonts w:ascii="Calibri" w:eastAsia="Times New Roman" w:hAnsi="Calibri" w:cs="Calibri"/>
                <w:sz w:val="22"/>
              </w:rPr>
              <w:t>SpCell</w:t>
            </w:r>
            <w:proofErr w:type="spellEnd"/>
            <w:r w:rsidRPr="005108CE">
              <w:rPr>
                <w:rFonts w:ascii="Calibri" w:eastAsia="Times New Roman" w:hAnsi="Calibri" w:cs="Calibri"/>
                <w:sz w:val="22"/>
              </w:rPr>
              <w:t xml:space="preserve"> switch delay, UE does not need extra time to measure the PL-RS if L1-RSRP measurement period of corresponding SSB is no longer than 160ms.</w:t>
            </w:r>
          </w:p>
          <w:p w14:paraId="7F75F9D5" w14:textId="77777777" w:rsidR="00B44F2D" w:rsidRPr="005108CE" w:rsidRDefault="00B44F2D" w:rsidP="0005135C">
            <w:pPr>
              <w:numPr>
                <w:ilvl w:val="0"/>
                <w:numId w:val="18"/>
              </w:numPr>
              <w:spacing w:after="120"/>
              <w:jc w:val="left"/>
              <w:textAlignment w:val="center"/>
              <w:rPr>
                <w:rFonts w:ascii="Calibri" w:eastAsia="Times New Roman" w:hAnsi="Calibri" w:cs="Calibri"/>
                <w:sz w:val="22"/>
              </w:rPr>
            </w:pPr>
            <w:r w:rsidRPr="005108CE">
              <w:rPr>
                <w:rFonts w:ascii="Calibri" w:eastAsia="Times New Roman" w:hAnsi="Calibri" w:cs="Calibri"/>
                <w:sz w:val="22"/>
              </w:rPr>
              <w:t>Option 2 (vivo): The PL-RS of the TCI activated/indicated in cell switch command is not maintained at the endpoint of the cell switch delay.</w:t>
            </w:r>
          </w:p>
          <w:p w14:paraId="6BFE6393" w14:textId="77777777" w:rsidR="00B44F2D" w:rsidRPr="005108CE" w:rsidRDefault="00B44F2D" w:rsidP="0005135C">
            <w:pPr>
              <w:numPr>
                <w:ilvl w:val="1"/>
                <w:numId w:val="18"/>
              </w:numPr>
              <w:spacing w:after="120"/>
              <w:jc w:val="left"/>
              <w:textAlignment w:val="center"/>
              <w:rPr>
                <w:rFonts w:ascii="Calibri" w:eastAsia="Times New Roman" w:hAnsi="Calibri" w:cs="Calibri"/>
                <w:sz w:val="22"/>
              </w:rPr>
            </w:pPr>
            <w:r w:rsidRPr="005108CE">
              <w:rPr>
                <w:rFonts w:ascii="Calibri" w:eastAsia="Times New Roman" w:hAnsi="Calibri" w:cs="Calibri"/>
                <w:sz w:val="22"/>
              </w:rPr>
              <w:t>For RACH-based cell switch or early-RACH-based RACH-less cell switch, UE uses the SSB for PRACH transmission as the default PL-RS, before the PL-RS in the target TCI is maintained. If the SSB for PRACH transmission is the same as QCL source of the indicated TCI, UE is NOT required to transmit UL based on the target TCI before TCI activation time.</w:t>
            </w:r>
          </w:p>
          <w:p w14:paraId="193F00B5" w14:textId="77777777" w:rsidR="00B44F2D" w:rsidRPr="005108CE" w:rsidRDefault="00B44F2D" w:rsidP="0005135C">
            <w:pPr>
              <w:numPr>
                <w:ilvl w:val="1"/>
                <w:numId w:val="18"/>
              </w:numPr>
              <w:spacing w:after="120"/>
              <w:jc w:val="left"/>
              <w:textAlignment w:val="center"/>
              <w:rPr>
                <w:rFonts w:ascii="Calibri" w:eastAsia="Times New Roman" w:hAnsi="Calibri" w:cs="Calibri"/>
                <w:sz w:val="22"/>
              </w:rPr>
            </w:pPr>
            <w:r w:rsidRPr="005108CE">
              <w:rPr>
                <w:rFonts w:ascii="Calibri" w:eastAsia="Times New Roman" w:hAnsi="Calibri" w:cs="Calibri"/>
                <w:sz w:val="22"/>
              </w:rPr>
              <w:t xml:space="preserve">For all other RACH-less cell switch, UE is assumed to follow the same </w:t>
            </w:r>
            <w:proofErr w:type="spellStart"/>
            <w:r w:rsidRPr="005108CE">
              <w:rPr>
                <w:rFonts w:ascii="Calibri" w:eastAsia="Times New Roman" w:hAnsi="Calibri" w:cs="Calibri"/>
                <w:sz w:val="22"/>
              </w:rPr>
              <w:t>behaviour</w:t>
            </w:r>
            <w:proofErr w:type="spellEnd"/>
            <w:r w:rsidRPr="005108CE">
              <w:rPr>
                <w:rFonts w:ascii="Calibri" w:eastAsia="Times New Roman" w:hAnsi="Calibri" w:cs="Calibri"/>
                <w:sz w:val="22"/>
              </w:rPr>
              <w:t xml:space="preserve"> as R17 ICBM.</w:t>
            </w:r>
          </w:p>
          <w:p w14:paraId="210ACE70" w14:textId="77777777" w:rsidR="00B44F2D" w:rsidRPr="005108CE" w:rsidRDefault="00B44F2D" w:rsidP="0005135C">
            <w:pPr>
              <w:numPr>
                <w:ilvl w:val="1"/>
                <w:numId w:val="18"/>
              </w:numPr>
              <w:spacing w:after="120"/>
              <w:jc w:val="left"/>
              <w:textAlignment w:val="center"/>
              <w:rPr>
                <w:rFonts w:ascii="Calibri" w:eastAsia="Times New Roman" w:hAnsi="Calibri" w:cs="Calibri"/>
                <w:sz w:val="22"/>
              </w:rPr>
            </w:pPr>
            <w:r w:rsidRPr="005108CE">
              <w:rPr>
                <w:rFonts w:ascii="Calibri" w:eastAsia="Times New Roman" w:hAnsi="Calibri" w:cs="Calibri"/>
                <w:sz w:val="22"/>
              </w:rPr>
              <w:t>No additional interruption is assumed.</w:t>
            </w:r>
          </w:p>
          <w:p w14:paraId="369E5862" w14:textId="77777777" w:rsidR="00B44F2D" w:rsidRPr="005108CE" w:rsidRDefault="00B44F2D" w:rsidP="0005135C">
            <w:pPr>
              <w:numPr>
                <w:ilvl w:val="0"/>
                <w:numId w:val="18"/>
              </w:numPr>
              <w:spacing w:after="120"/>
              <w:jc w:val="left"/>
              <w:textAlignment w:val="center"/>
              <w:rPr>
                <w:rFonts w:ascii="Calibri" w:eastAsia="Times New Roman" w:hAnsi="Calibri" w:cs="Calibri"/>
                <w:sz w:val="22"/>
              </w:rPr>
            </w:pPr>
            <w:r w:rsidRPr="005108CE">
              <w:rPr>
                <w:rFonts w:ascii="Calibri" w:eastAsia="Times New Roman" w:hAnsi="Calibri" w:cs="Calibri"/>
                <w:sz w:val="22"/>
              </w:rPr>
              <w:t>Option 3 (Ericsson): No additional delay or conditions are needed for PL-RS measurement.</w:t>
            </w:r>
          </w:p>
          <w:p w14:paraId="7ACF0F8A" w14:textId="77777777" w:rsidR="00B44F2D" w:rsidRDefault="00B44F2D" w:rsidP="00B44F2D"/>
        </w:tc>
      </w:tr>
    </w:tbl>
    <w:p w14:paraId="01E56ECB" w14:textId="77777777" w:rsidR="00B44F2D" w:rsidRDefault="00B44F2D" w:rsidP="00B44F2D"/>
    <w:p w14:paraId="7DAB7C50" w14:textId="1E7977D8" w:rsidR="00B12805" w:rsidRDefault="005B0893" w:rsidP="00B44F2D">
      <w:r>
        <w:t>As we have discussed in our paper for the general aspects AI</w:t>
      </w:r>
      <w:r w:rsidR="00697F11">
        <w:t xml:space="preserve"> [</w:t>
      </w:r>
      <w:r w:rsidR="001C2BF9">
        <w:t>4</w:t>
      </w:r>
      <w:r w:rsidR="00697F11">
        <w:t>]</w:t>
      </w:r>
      <w:r>
        <w:t>, we think</w:t>
      </w:r>
      <w:r w:rsidR="00453D80">
        <w:t xml:space="preserve"> the UE can do PL-RS estimation based on the same SSB as is used for the fine T/F tracking</w:t>
      </w:r>
      <w:r w:rsidR="00DE6F2C">
        <w:t xml:space="preserve">. If TCI state is activated before the cell switch, the UE would do this step </w:t>
      </w:r>
      <w:r w:rsidR="001E151D">
        <w:lastRenderedPageBreak/>
        <w:t xml:space="preserve">once it receives the early TCI state activation MAC-CE </w:t>
      </w:r>
      <w:r w:rsidR="00DE6F2C">
        <w:t>and maintain</w:t>
      </w:r>
      <w:r w:rsidR="001E151D">
        <w:t>s</w:t>
      </w:r>
      <w:r w:rsidR="00DE6F2C">
        <w:t xml:space="preserve"> the PL-RS</w:t>
      </w:r>
      <w:r w:rsidR="001E151D">
        <w:t xml:space="preserve"> until the cell switch command. </w:t>
      </w:r>
      <w:r w:rsidR="0065762A">
        <w:t>Hence, in this case</w:t>
      </w:r>
      <w:r w:rsidR="00F952C4">
        <w:t>, there is no need for a component for PL-RS estimation in the cell switch delay.</w:t>
      </w:r>
    </w:p>
    <w:p w14:paraId="5EE0EE18" w14:textId="49B6E16D" w:rsidR="00456E31" w:rsidRDefault="00456E31" w:rsidP="00456E31">
      <w:pPr>
        <w:pStyle w:val="RAN4proposal"/>
      </w:pPr>
      <w:bookmarkStart w:id="10" w:name="_Toc149904399"/>
      <w:r>
        <w:t xml:space="preserve">When </w:t>
      </w:r>
      <w:r w:rsidR="003A009F">
        <w:t>TCI state has been activated before the cell switch</w:t>
      </w:r>
      <w:r w:rsidR="002E319B">
        <w:t xml:space="preserve">, PL-RS estimation is </w:t>
      </w:r>
      <w:r w:rsidR="004217B5">
        <w:t>not part of the cell switch delay.</w:t>
      </w:r>
      <w:bookmarkEnd w:id="10"/>
    </w:p>
    <w:p w14:paraId="519B8B56" w14:textId="7AFB888E" w:rsidR="00F952C4" w:rsidRDefault="00F952C4" w:rsidP="00B44F2D">
      <w:r>
        <w:t>If TCI state activation is done at the cell switch, PL-RS shall be part of the cell switch delay. In this case, it can be assumed that the same SSB is configured as PL-RS as is configured for L1-RSRP measurement</w:t>
      </w:r>
      <w:r w:rsidR="003C1DF1">
        <w:t>/as a QCL source for the DL TCI state</w:t>
      </w:r>
      <w:r>
        <w:t xml:space="preserve">, so </w:t>
      </w:r>
      <w:r w:rsidR="00992DD4">
        <w:t>the UE can u</w:t>
      </w:r>
      <w:r w:rsidR="003C1DF1">
        <w:t>se the same SSB that is used for DL synchronization (</w:t>
      </w:r>
      <w:proofErr w:type="spellStart"/>
      <w:r w:rsidR="003C1DF1">
        <w:t>T</w:t>
      </w:r>
      <w:r w:rsidR="003C1DF1" w:rsidRPr="007F46BB">
        <w:rPr>
          <w:vertAlign w:val="subscript"/>
        </w:rPr>
        <w:t>first</w:t>
      </w:r>
      <w:proofErr w:type="spellEnd"/>
      <w:r w:rsidR="003C1DF1" w:rsidRPr="007F46BB">
        <w:rPr>
          <w:vertAlign w:val="subscript"/>
        </w:rPr>
        <w:t>-RS</w:t>
      </w:r>
      <w:r w:rsidR="003C1DF1">
        <w:t>) also for PL-RS. Hence, no additional delay is needed</w:t>
      </w:r>
      <w:r w:rsidR="00456E31">
        <w:t xml:space="preserve"> for this step.</w:t>
      </w:r>
    </w:p>
    <w:p w14:paraId="0FC3DB13" w14:textId="12D30928" w:rsidR="004217B5" w:rsidRDefault="004217B5" w:rsidP="004217B5">
      <w:pPr>
        <w:pStyle w:val="RAN4proposal"/>
      </w:pPr>
      <w:bookmarkStart w:id="11" w:name="_Toc149904400"/>
      <w:r>
        <w:t xml:space="preserve">When TCI state activation is done at the cell switch, </w:t>
      </w:r>
      <w:r w:rsidR="00C122B2">
        <w:t>UE uses</w:t>
      </w:r>
      <w:r w:rsidR="00695A92">
        <w:t xml:space="preserve"> </w:t>
      </w:r>
      <w:r w:rsidR="00CB29F6">
        <w:t xml:space="preserve">the </w:t>
      </w:r>
      <w:r w:rsidR="00695A92">
        <w:t xml:space="preserve">same SSB </w:t>
      </w:r>
      <w:r w:rsidR="00514EF6">
        <w:t>f</w:t>
      </w:r>
      <w:r w:rsidR="00695A92">
        <w:t xml:space="preserve">or PL-RS and </w:t>
      </w:r>
      <w:r w:rsidR="00E56D32">
        <w:t>fine T/F tracking</w:t>
      </w:r>
      <w:r w:rsidR="007F46BB">
        <w:t xml:space="preserve"> (</w:t>
      </w:r>
      <w:proofErr w:type="spellStart"/>
      <w:r w:rsidR="007F46BB">
        <w:t>T</w:t>
      </w:r>
      <w:r w:rsidR="007F46BB" w:rsidRPr="007F46BB">
        <w:rPr>
          <w:vertAlign w:val="subscript"/>
        </w:rPr>
        <w:t>first</w:t>
      </w:r>
      <w:proofErr w:type="spellEnd"/>
      <w:r w:rsidR="007F46BB" w:rsidRPr="007F46BB">
        <w:rPr>
          <w:vertAlign w:val="subscript"/>
        </w:rPr>
        <w:t>-RS</w:t>
      </w:r>
      <w:r w:rsidR="007F46BB">
        <w:t>)</w:t>
      </w:r>
      <w:r w:rsidR="00E56D32">
        <w:t>. No additional delay due to PL-RS is needed in the cell switch delay.</w:t>
      </w:r>
      <w:bookmarkEnd w:id="11"/>
    </w:p>
    <w:p w14:paraId="7B86860A" w14:textId="521269B0" w:rsidR="005108CE" w:rsidRDefault="005108CE" w:rsidP="005108CE">
      <w:pPr>
        <w:pStyle w:val="RAN4H1"/>
      </w:pPr>
      <w:r>
        <w:t>Interruption</w:t>
      </w:r>
    </w:p>
    <w:p w14:paraId="26CBE756" w14:textId="7A9F2902" w:rsidR="00B12805" w:rsidRPr="00B12805" w:rsidRDefault="00B12805" w:rsidP="00B12805">
      <w:r>
        <w:t>There was not enough time to conclude on which of the cell switch delay parameters are part of the interruption and which are not</w:t>
      </w:r>
      <w:r w:rsidR="006215AD">
        <w:t>. This issue was therefore left open in the WF.</w:t>
      </w:r>
    </w:p>
    <w:tbl>
      <w:tblPr>
        <w:tblStyle w:val="TableGrid"/>
        <w:tblW w:w="0" w:type="auto"/>
        <w:tblLook w:val="04A0" w:firstRow="1" w:lastRow="0" w:firstColumn="1" w:lastColumn="0" w:noHBand="0" w:noVBand="1"/>
      </w:tblPr>
      <w:tblGrid>
        <w:gridCol w:w="9617"/>
      </w:tblGrid>
      <w:tr w:rsidR="005108CE" w14:paraId="088AC6B6" w14:textId="77777777" w:rsidTr="005108CE">
        <w:tc>
          <w:tcPr>
            <w:tcW w:w="9617" w:type="dxa"/>
          </w:tcPr>
          <w:p w14:paraId="5DF1E0E6" w14:textId="77777777" w:rsidR="005108CE" w:rsidRPr="005108CE" w:rsidRDefault="005108CE" w:rsidP="005108CE">
            <w:pPr>
              <w:spacing w:after="120"/>
              <w:jc w:val="left"/>
              <w:rPr>
                <w:rFonts w:ascii="Calibri" w:eastAsia="Times New Roman" w:hAnsi="Calibri" w:cs="Calibri"/>
                <w:sz w:val="22"/>
              </w:rPr>
            </w:pPr>
            <w:r w:rsidRPr="005108CE">
              <w:rPr>
                <w:rFonts w:ascii="Calibri" w:eastAsia="Times New Roman" w:hAnsi="Calibri" w:cs="Calibri"/>
                <w:b/>
                <w:bCs/>
                <w:sz w:val="22"/>
                <w:u w:val="single"/>
              </w:rPr>
              <w:t xml:space="preserve">Issue 3-2-6-1: </w:t>
            </w:r>
            <w:proofErr w:type="spellStart"/>
            <w:r w:rsidRPr="005108CE">
              <w:rPr>
                <w:rFonts w:ascii="Calibri" w:eastAsia="Times New Roman" w:hAnsi="Calibri" w:cs="Calibri"/>
                <w:b/>
                <w:bCs/>
                <w:sz w:val="22"/>
                <w:u w:val="single"/>
              </w:rPr>
              <w:t>T</w:t>
            </w:r>
            <w:r w:rsidRPr="005108CE">
              <w:rPr>
                <w:rFonts w:ascii="Calibri" w:eastAsia="Times New Roman" w:hAnsi="Calibri" w:cs="Calibri"/>
                <w:b/>
                <w:bCs/>
                <w:sz w:val="22"/>
                <w:u w:val="single"/>
                <w:vertAlign w:val="subscript"/>
              </w:rPr>
              <w:t>interruption</w:t>
            </w:r>
            <w:proofErr w:type="spellEnd"/>
          </w:p>
          <w:p w14:paraId="234DBDE9" w14:textId="77777777" w:rsidR="005108CE" w:rsidRPr="005108CE" w:rsidRDefault="005108CE" w:rsidP="005108CE">
            <w:pPr>
              <w:jc w:val="left"/>
              <w:rPr>
                <w:rFonts w:ascii="Calibri" w:eastAsia="Times New Roman" w:hAnsi="Calibri" w:cs="Calibri"/>
                <w:sz w:val="22"/>
              </w:rPr>
            </w:pPr>
            <w:r w:rsidRPr="005108CE">
              <w:rPr>
                <w:rFonts w:ascii="Calibri" w:eastAsia="Times New Roman" w:hAnsi="Calibri" w:cs="Calibri"/>
                <w:b/>
                <w:bCs/>
                <w:sz w:val="22"/>
              </w:rPr>
              <w:t xml:space="preserve">&lt;Way Forward&gt; </w:t>
            </w:r>
            <w:r w:rsidRPr="005108CE">
              <w:rPr>
                <w:rFonts w:ascii="Calibri" w:eastAsia="Times New Roman" w:hAnsi="Calibri" w:cs="Calibri"/>
                <w:sz w:val="22"/>
              </w:rPr>
              <w:t>FFS the following Options:</w:t>
            </w:r>
          </w:p>
          <w:p w14:paraId="787B4BC3" w14:textId="77777777" w:rsidR="005108CE" w:rsidRPr="005108CE" w:rsidRDefault="005108CE" w:rsidP="0005135C">
            <w:pPr>
              <w:numPr>
                <w:ilvl w:val="0"/>
                <w:numId w:val="20"/>
              </w:numPr>
              <w:spacing w:after="120"/>
              <w:jc w:val="left"/>
              <w:textAlignment w:val="center"/>
              <w:rPr>
                <w:rFonts w:ascii="Calibri" w:eastAsia="Times New Roman" w:hAnsi="Calibri" w:cs="Calibri"/>
                <w:sz w:val="22"/>
              </w:rPr>
            </w:pPr>
            <w:r w:rsidRPr="005108CE">
              <w:rPr>
                <w:rFonts w:ascii="Calibri" w:eastAsia="Times New Roman" w:hAnsi="Calibri" w:cs="Calibri"/>
                <w:sz w:val="22"/>
              </w:rPr>
              <w:t xml:space="preserve">Option 1 (CATT, CMCC, ZTE, OPPO, Apple): The components of L1/L2 cell switch interruption </w:t>
            </w:r>
            <w:proofErr w:type="spellStart"/>
            <w:r w:rsidRPr="005108CE">
              <w:rPr>
                <w:rFonts w:ascii="Calibri" w:eastAsia="Times New Roman" w:hAnsi="Calibri" w:cs="Calibri"/>
                <w:sz w:val="22"/>
              </w:rPr>
              <w:t>T</w:t>
            </w:r>
            <w:r w:rsidRPr="005108CE">
              <w:rPr>
                <w:rFonts w:ascii="Calibri" w:eastAsia="Times New Roman" w:hAnsi="Calibri" w:cs="Calibri"/>
                <w:sz w:val="22"/>
                <w:vertAlign w:val="subscript"/>
              </w:rPr>
              <w:t>interruption</w:t>
            </w:r>
            <w:proofErr w:type="spellEnd"/>
            <w:r w:rsidRPr="005108CE">
              <w:rPr>
                <w:rFonts w:ascii="Calibri" w:eastAsia="Times New Roman" w:hAnsi="Calibri" w:cs="Calibri"/>
                <w:sz w:val="22"/>
              </w:rPr>
              <w:t xml:space="preserve"> are the components of L1/L2 inter-cell mobility delay except </w:t>
            </w:r>
            <w:proofErr w:type="spellStart"/>
            <w:r w:rsidRPr="005108CE">
              <w:rPr>
                <w:rFonts w:ascii="Calibri" w:eastAsia="Times New Roman" w:hAnsi="Calibri" w:cs="Calibri"/>
                <w:sz w:val="22"/>
              </w:rPr>
              <w:t>T</w:t>
            </w:r>
            <w:r w:rsidRPr="005108CE">
              <w:rPr>
                <w:rFonts w:ascii="Calibri" w:eastAsia="Times New Roman" w:hAnsi="Calibri" w:cs="Calibri"/>
                <w:sz w:val="22"/>
                <w:vertAlign w:val="subscript"/>
              </w:rPr>
              <w:t>cmd</w:t>
            </w:r>
            <w:proofErr w:type="spellEnd"/>
          </w:p>
          <w:p w14:paraId="2D1679EB" w14:textId="77777777" w:rsidR="005108CE" w:rsidRPr="005108CE" w:rsidRDefault="005108CE" w:rsidP="0005135C">
            <w:pPr>
              <w:numPr>
                <w:ilvl w:val="0"/>
                <w:numId w:val="20"/>
              </w:numPr>
              <w:spacing w:after="120"/>
              <w:jc w:val="left"/>
              <w:textAlignment w:val="center"/>
              <w:rPr>
                <w:rFonts w:ascii="Calibri" w:eastAsia="Times New Roman" w:hAnsi="Calibri" w:cs="Calibri"/>
                <w:sz w:val="22"/>
              </w:rPr>
            </w:pPr>
            <w:r w:rsidRPr="005108CE">
              <w:rPr>
                <w:rFonts w:ascii="Calibri" w:eastAsia="Times New Roman" w:hAnsi="Calibri" w:cs="Calibri"/>
                <w:sz w:val="22"/>
              </w:rPr>
              <w:t>Option 2 (Nokia): T</w:t>
            </w:r>
            <w:r w:rsidRPr="005108CE">
              <w:rPr>
                <w:rFonts w:ascii="Calibri" w:eastAsia="Times New Roman" w:hAnsi="Calibri" w:cs="Calibri"/>
                <w:sz w:val="22"/>
                <w:vertAlign w:val="subscript"/>
              </w:rPr>
              <w:t>interrupt</w:t>
            </w:r>
            <w:r w:rsidRPr="005108CE">
              <w:rPr>
                <w:rFonts w:ascii="Calibri" w:eastAsia="Times New Roman" w:hAnsi="Calibri" w:cs="Calibri"/>
                <w:sz w:val="22"/>
              </w:rPr>
              <w:t xml:space="preserve"> = T</w:t>
            </w:r>
            <w:r w:rsidRPr="005108CE">
              <w:rPr>
                <w:rFonts w:ascii="Calibri" w:eastAsia="Times New Roman" w:hAnsi="Calibri" w:cs="Calibri"/>
                <w:sz w:val="22"/>
                <w:vertAlign w:val="subscript"/>
              </w:rPr>
              <w:t xml:space="preserve">LTM-processing </w:t>
            </w:r>
            <w:r w:rsidRPr="005108CE">
              <w:rPr>
                <w:rFonts w:ascii="Calibri" w:eastAsia="Times New Roman" w:hAnsi="Calibri" w:cs="Calibri"/>
                <w:sz w:val="22"/>
              </w:rPr>
              <w:t>+ T</w:t>
            </w:r>
            <w:r w:rsidRPr="005108CE">
              <w:rPr>
                <w:rFonts w:ascii="Calibri" w:eastAsia="Times New Roman" w:hAnsi="Calibri" w:cs="Calibri"/>
                <w:sz w:val="22"/>
                <w:vertAlign w:val="subscript"/>
              </w:rPr>
              <w:t>∆</w:t>
            </w:r>
            <w:r w:rsidRPr="005108CE">
              <w:rPr>
                <w:rFonts w:ascii="Calibri" w:eastAsia="Times New Roman" w:hAnsi="Calibri" w:cs="Calibri"/>
                <w:sz w:val="22"/>
              </w:rPr>
              <w:t xml:space="preserve"> + </w:t>
            </w:r>
            <w:proofErr w:type="spellStart"/>
            <w:r w:rsidRPr="005108CE">
              <w:rPr>
                <w:rFonts w:ascii="Calibri" w:eastAsia="Times New Roman" w:hAnsi="Calibri" w:cs="Calibri"/>
                <w:sz w:val="22"/>
              </w:rPr>
              <w:t>T</w:t>
            </w:r>
            <w:r w:rsidRPr="005108CE">
              <w:rPr>
                <w:rFonts w:ascii="Calibri" w:eastAsia="Times New Roman" w:hAnsi="Calibri" w:cs="Calibri"/>
                <w:sz w:val="22"/>
                <w:vertAlign w:val="subscript"/>
              </w:rPr>
              <w:t>margin</w:t>
            </w:r>
            <w:proofErr w:type="spellEnd"/>
            <w:r w:rsidRPr="005108CE">
              <w:rPr>
                <w:rFonts w:ascii="Calibri" w:eastAsia="Times New Roman" w:hAnsi="Calibri" w:cs="Calibri"/>
                <w:sz w:val="22"/>
              </w:rPr>
              <w:t xml:space="preserve"> + T</w:t>
            </w:r>
            <w:r w:rsidRPr="005108CE">
              <w:rPr>
                <w:rFonts w:ascii="Calibri" w:eastAsia="Times New Roman" w:hAnsi="Calibri" w:cs="Calibri"/>
                <w:sz w:val="22"/>
                <w:vertAlign w:val="subscript"/>
              </w:rPr>
              <w:t>IU</w:t>
            </w:r>
            <w:r w:rsidRPr="005108CE">
              <w:rPr>
                <w:rFonts w:ascii="Calibri" w:eastAsia="Times New Roman" w:hAnsi="Calibri" w:cs="Calibri"/>
                <w:sz w:val="22"/>
              </w:rPr>
              <w:t>.</w:t>
            </w:r>
          </w:p>
          <w:p w14:paraId="524FEC6F" w14:textId="77777777" w:rsidR="005108CE" w:rsidRPr="005108CE" w:rsidRDefault="005108CE" w:rsidP="0005135C">
            <w:pPr>
              <w:numPr>
                <w:ilvl w:val="0"/>
                <w:numId w:val="20"/>
              </w:numPr>
              <w:spacing w:after="120"/>
              <w:jc w:val="left"/>
              <w:textAlignment w:val="center"/>
              <w:rPr>
                <w:rFonts w:ascii="Calibri" w:eastAsia="Times New Roman" w:hAnsi="Calibri" w:cs="Calibri"/>
                <w:sz w:val="22"/>
              </w:rPr>
            </w:pPr>
            <w:r w:rsidRPr="005108CE">
              <w:rPr>
                <w:rFonts w:ascii="Calibri" w:eastAsia="Times New Roman" w:hAnsi="Calibri" w:cs="Calibri"/>
                <w:sz w:val="22"/>
              </w:rPr>
              <w:t xml:space="preserve">Option 3 (vivo): </w:t>
            </w:r>
          </w:p>
          <w:p w14:paraId="5F2E43C7" w14:textId="77777777" w:rsidR="005108CE" w:rsidRPr="005108CE" w:rsidRDefault="005108CE" w:rsidP="0005135C">
            <w:pPr>
              <w:numPr>
                <w:ilvl w:val="1"/>
                <w:numId w:val="20"/>
              </w:numPr>
              <w:spacing w:after="120"/>
              <w:jc w:val="left"/>
              <w:textAlignment w:val="center"/>
              <w:rPr>
                <w:rFonts w:ascii="Calibri" w:eastAsia="Times New Roman" w:hAnsi="Calibri" w:cs="Calibri"/>
                <w:sz w:val="22"/>
              </w:rPr>
            </w:pPr>
            <w:r w:rsidRPr="005108CE">
              <w:rPr>
                <w:rFonts w:ascii="Calibri" w:eastAsia="Times New Roman" w:hAnsi="Calibri" w:cs="Calibri"/>
                <w:sz w:val="22"/>
              </w:rPr>
              <w:t xml:space="preserve">For RACH-based cell switch, </w:t>
            </w:r>
            <w:proofErr w:type="spellStart"/>
            <w:r w:rsidRPr="005108CE">
              <w:rPr>
                <w:rFonts w:ascii="Calibri" w:eastAsia="Times New Roman" w:hAnsi="Calibri" w:cs="Calibri"/>
                <w:sz w:val="22"/>
              </w:rPr>
              <w:t>T</w:t>
            </w:r>
            <w:r w:rsidRPr="005108CE">
              <w:rPr>
                <w:rFonts w:ascii="Calibri" w:eastAsia="Times New Roman" w:hAnsi="Calibri" w:cs="Calibri"/>
                <w:sz w:val="22"/>
                <w:vertAlign w:val="subscript"/>
              </w:rPr>
              <w:t>interruption</w:t>
            </w:r>
            <w:proofErr w:type="spellEnd"/>
            <w:r w:rsidRPr="005108CE">
              <w:rPr>
                <w:rFonts w:ascii="Calibri" w:eastAsia="Times New Roman" w:hAnsi="Calibri" w:cs="Calibri"/>
                <w:sz w:val="22"/>
              </w:rPr>
              <w:t xml:space="preserve"> at least include the time of T</w:t>
            </w:r>
            <w:r w:rsidRPr="005108CE">
              <w:rPr>
                <w:rFonts w:ascii="Calibri" w:eastAsia="Times New Roman" w:hAnsi="Calibri" w:cs="Calibri"/>
                <w:sz w:val="22"/>
                <w:vertAlign w:val="subscript"/>
              </w:rPr>
              <w:t>processing,2</w:t>
            </w:r>
            <w:r w:rsidRPr="005108CE">
              <w:rPr>
                <w:rFonts w:ascii="Calibri" w:eastAsia="Times New Roman" w:hAnsi="Calibri" w:cs="Calibri"/>
                <w:sz w:val="22"/>
              </w:rPr>
              <w:t xml:space="preserve"> and T</w:t>
            </w:r>
            <w:r w:rsidRPr="005108CE">
              <w:rPr>
                <w:rFonts w:ascii="Calibri" w:eastAsia="Times New Roman" w:hAnsi="Calibri" w:cs="Calibri"/>
                <w:sz w:val="22"/>
                <w:vertAlign w:val="subscript"/>
              </w:rPr>
              <w:t>IU</w:t>
            </w:r>
            <w:r w:rsidRPr="005108CE">
              <w:rPr>
                <w:rFonts w:ascii="Calibri" w:eastAsia="Times New Roman" w:hAnsi="Calibri" w:cs="Calibri"/>
                <w:sz w:val="22"/>
              </w:rPr>
              <w:t>.</w:t>
            </w:r>
          </w:p>
          <w:p w14:paraId="0CEB00E3" w14:textId="77777777" w:rsidR="005108CE" w:rsidRPr="005108CE" w:rsidRDefault="005108CE" w:rsidP="0005135C">
            <w:pPr>
              <w:numPr>
                <w:ilvl w:val="1"/>
                <w:numId w:val="20"/>
              </w:numPr>
              <w:spacing w:after="120"/>
              <w:jc w:val="left"/>
              <w:textAlignment w:val="center"/>
              <w:rPr>
                <w:rFonts w:ascii="Calibri" w:eastAsia="Times New Roman" w:hAnsi="Calibri" w:cs="Calibri"/>
                <w:sz w:val="22"/>
              </w:rPr>
            </w:pPr>
            <w:r w:rsidRPr="005108CE">
              <w:rPr>
                <w:rFonts w:ascii="Calibri" w:eastAsia="Times New Roman" w:hAnsi="Calibri" w:cs="Calibri"/>
                <w:sz w:val="22"/>
              </w:rPr>
              <w:t xml:space="preserve">For RACH-less cell switch, </w:t>
            </w:r>
            <w:proofErr w:type="spellStart"/>
            <w:r w:rsidRPr="005108CE">
              <w:rPr>
                <w:rFonts w:ascii="Calibri" w:eastAsia="Times New Roman" w:hAnsi="Calibri" w:cs="Calibri"/>
                <w:sz w:val="22"/>
              </w:rPr>
              <w:t>T</w:t>
            </w:r>
            <w:r w:rsidRPr="005108CE">
              <w:rPr>
                <w:rFonts w:ascii="Calibri" w:eastAsia="Times New Roman" w:hAnsi="Calibri" w:cs="Calibri"/>
                <w:sz w:val="22"/>
                <w:vertAlign w:val="subscript"/>
              </w:rPr>
              <w:t>interruption</w:t>
            </w:r>
            <w:proofErr w:type="spellEnd"/>
            <w:r w:rsidRPr="005108CE">
              <w:rPr>
                <w:rFonts w:ascii="Calibri" w:eastAsia="Times New Roman" w:hAnsi="Calibri" w:cs="Calibri"/>
                <w:sz w:val="22"/>
              </w:rPr>
              <w:t xml:space="preserve"> at least include T</w:t>
            </w:r>
            <w:r w:rsidRPr="005108CE">
              <w:rPr>
                <w:rFonts w:ascii="Calibri" w:eastAsia="Times New Roman" w:hAnsi="Calibri" w:cs="Calibri"/>
                <w:sz w:val="22"/>
                <w:vertAlign w:val="subscript"/>
              </w:rPr>
              <w:t>processing,2</w:t>
            </w:r>
          </w:p>
          <w:p w14:paraId="2E8DC4E8" w14:textId="77777777" w:rsidR="005108CE" w:rsidRPr="005108CE" w:rsidRDefault="005108CE" w:rsidP="0005135C">
            <w:pPr>
              <w:numPr>
                <w:ilvl w:val="1"/>
                <w:numId w:val="20"/>
              </w:numPr>
              <w:spacing w:after="120"/>
              <w:jc w:val="left"/>
              <w:textAlignment w:val="center"/>
              <w:rPr>
                <w:rFonts w:ascii="Calibri" w:eastAsia="Times New Roman" w:hAnsi="Calibri" w:cs="Calibri"/>
                <w:sz w:val="22"/>
              </w:rPr>
            </w:pPr>
            <w:r w:rsidRPr="005108CE">
              <w:rPr>
                <w:rFonts w:ascii="Calibri" w:eastAsia="Times New Roman" w:hAnsi="Calibri" w:cs="Calibri"/>
                <w:sz w:val="22"/>
              </w:rPr>
              <w:t>during LTM execution time, there is NO interruption to source PCell</w:t>
            </w:r>
          </w:p>
          <w:p w14:paraId="4EF5E618" w14:textId="77777777" w:rsidR="005108CE" w:rsidRPr="005108CE" w:rsidRDefault="005108CE" w:rsidP="005108CE">
            <w:pPr>
              <w:spacing w:after="120"/>
              <w:jc w:val="left"/>
              <w:rPr>
                <w:rFonts w:ascii="Calibri" w:eastAsia="Times New Roman" w:hAnsi="Calibri" w:cs="Calibri"/>
                <w:sz w:val="22"/>
              </w:rPr>
            </w:pPr>
            <w:r w:rsidRPr="005108CE">
              <w:rPr>
                <w:rFonts w:ascii="Calibri" w:eastAsia="Times New Roman" w:hAnsi="Calibri" w:cs="Calibri"/>
                <w:b/>
                <w:bCs/>
                <w:sz w:val="22"/>
                <w:u w:val="single"/>
              </w:rPr>
              <w:t>Issue 3-1-2: Procedure of cell switch</w:t>
            </w:r>
          </w:p>
          <w:p w14:paraId="4A89067A" w14:textId="77777777" w:rsidR="005108CE" w:rsidRPr="005108CE" w:rsidRDefault="005108CE" w:rsidP="005108CE">
            <w:pPr>
              <w:jc w:val="left"/>
              <w:rPr>
                <w:rFonts w:ascii="Calibri" w:eastAsia="Times New Roman" w:hAnsi="Calibri" w:cs="Calibri"/>
                <w:sz w:val="22"/>
              </w:rPr>
            </w:pPr>
            <w:r w:rsidRPr="005108CE">
              <w:rPr>
                <w:rFonts w:ascii="Calibri" w:eastAsia="Times New Roman" w:hAnsi="Calibri" w:cs="Calibri"/>
                <w:b/>
                <w:bCs/>
                <w:sz w:val="22"/>
              </w:rPr>
              <w:t xml:space="preserve">&lt;Way Forward&gt; </w:t>
            </w:r>
            <w:r w:rsidRPr="005108CE">
              <w:rPr>
                <w:rFonts w:ascii="Calibri" w:eastAsia="Times New Roman" w:hAnsi="Calibri" w:cs="Calibri"/>
                <w:sz w:val="22"/>
              </w:rPr>
              <w:t>FFS the following options:</w:t>
            </w:r>
          </w:p>
          <w:p w14:paraId="05CA5568" w14:textId="77777777" w:rsidR="005108CE" w:rsidRPr="005108CE" w:rsidRDefault="005108CE" w:rsidP="0005135C">
            <w:pPr>
              <w:numPr>
                <w:ilvl w:val="0"/>
                <w:numId w:val="15"/>
              </w:numPr>
              <w:spacing w:after="120"/>
              <w:jc w:val="left"/>
              <w:textAlignment w:val="center"/>
              <w:rPr>
                <w:rFonts w:ascii="Calibri" w:eastAsia="Times New Roman" w:hAnsi="Calibri" w:cs="Calibri"/>
                <w:sz w:val="22"/>
              </w:rPr>
            </w:pPr>
            <w:r w:rsidRPr="005108CE">
              <w:rPr>
                <w:rFonts w:ascii="Calibri" w:eastAsia="Times New Roman" w:hAnsi="Calibri" w:cs="Calibri"/>
                <w:color w:val="000000"/>
                <w:sz w:val="22"/>
              </w:rPr>
              <w:t>Option 1 (CATT, ZTE, Apple, Huawei): If T/F fine tracking (T</w:t>
            </w:r>
            <w:r w:rsidRPr="005108CE">
              <w:rPr>
                <w:rFonts w:ascii="Calibri" w:eastAsia="Times New Roman" w:hAnsi="Calibri" w:cs="Calibri"/>
                <w:sz w:val="22"/>
                <w:vertAlign w:val="subscript"/>
              </w:rPr>
              <w:t>Δ</w:t>
            </w:r>
            <w:r w:rsidRPr="005108CE">
              <w:rPr>
                <w:rFonts w:ascii="Calibri" w:eastAsia="Times New Roman" w:hAnsi="Calibri" w:cs="Calibri"/>
                <w:sz w:val="22"/>
              </w:rPr>
              <w:t>) is needed after receiving cell switch command, UE is not required to perform it before L1/L2/L3 processing (T</w:t>
            </w:r>
            <w:r w:rsidRPr="005108CE">
              <w:rPr>
                <w:rFonts w:ascii="Calibri" w:eastAsia="Times New Roman" w:hAnsi="Calibri" w:cs="Calibri"/>
                <w:sz w:val="22"/>
                <w:vertAlign w:val="subscript"/>
              </w:rPr>
              <w:t>processing,2</w:t>
            </w:r>
            <w:r w:rsidRPr="005108CE">
              <w:rPr>
                <w:rFonts w:ascii="Calibri" w:eastAsia="Times New Roman" w:hAnsi="Calibri" w:cs="Calibri"/>
                <w:sz w:val="22"/>
              </w:rPr>
              <w:t>)</w:t>
            </w:r>
          </w:p>
          <w:p w14:paraId="3E3B3D84" w14:textId="77777777" w:rsidR="005108CE" w:rsidRPr="005108CE" w:rsidRDefault="005108CE" w:rsidP="0005135C">
            <w:pPr>
              <w:numPr>
                <w:ilvl w:val="0"/>
                <w:numId w:val="15"/>
              </w:numPr>
              <w:spacing w:after="120"/>
              <w:jc w:val="left"/>
              <w:textAlignment w:val="center"/>
              <w:rPr>
                <w:rFonts w:ascii="Calibri" w:eastAsia="Times New Roman" w:hAnsi="Calibri" w:cs="Calibri"/>
                <w:sz w:val="22"/>
              </w:rPr>
            </w:pPr>
            <w:r w:rsidRPr="005108CE">
              <w:rPr>
                <w:rFonts w:ascii="Calibri" w:eastAsia="Times New Roman" w:hAnsi="Calibri" w:cs="Calibri"/>
                <w:color w:val="000000"/>
                <w:sz w:val="22"/>
              </w:rPr>
              <w:t>Option 2 (QC):</w:t>
            </w:r>
          </w:p>
          <w:p w14:paraId="01B3B66A" w14:textId="77777777" w:rsidR="005108CE" w:rsidRPr="005108CE" w:rsidRDefault="005108CE" w:rsidP="0005135C">
            <w:pPr>
              <w:numPr>
                <w:ilvl w:val="1"/>
                <w:numId w:val="15"/>
              </w:numPr>
              <w:spacing w:after="120"/>
              <w:jc w:val="left"/>
              <w:textAlignment w:val="center"/>
              <w:rPr>
                <w:rFonts w:ascii="Calibri" w:eastAsia="Times New Roman" w:hAnsi="Calibri" w:cs="Calibri"/>
                <w:sz w:val="22"/>
              </w:rPr>
            </w:pPr>
            <w:r w:rsidRPr="005108CE">
              <w:rPr>
                <w:rFonts w:ascii="Calibri" w:eastAsia="Times New Roman" w:hAnsi="Calibri" w:cs="Calibri"/>
                <w:color w:val="000000"/>
                <w:sz w:val="22"/>
              </w:rPr>
              <w:t xml:space="preserve">LTM cell switch execution latency requirement can be defined in such a way that the UE is required to process SSB and other delay components in parallel, meaning the requirement can be max (SSB reception + SSB processing time, partial RRC processing + RF reconfiguration + </w:t>
            </w:r>
            <w:proofErr w:type="spellStart"/>
            <w:r w:rsidRPr="005108CE">
              <w:rPr>
                <w:rFonts w:ascii="Calibri" w:eastAsia="Times New Roman" w:hAnsi="Calibri" w:cs="Calibri"/>
                <w:color w:val="000000"/>
                <w:sz w:val="22"/>
              </w:rPr>
              <w:t>etc</w:t>
            </w:r>
            <w:proofErr w:type="spellEnd"/>
            <w:r w:rsidRPr="005108CE">
              <w:rPr>
                <w:rFonts w:ascii="Calibri" w:eastAsia="Times New Roman" w:hAnsi="Calibri" w:cs="Calibri"/>
                <w:color w:val="000000"/>
                <w:sz w:val="22"/>
              </w:rPr>
              <w:t>). The UE should be allowed to receive at least one SSB sample for fine parameter tuning before starting to monitor PDCCH candidates from the chosen new PCell among the configured multiple LTM candidate cells even when the TCI state was activated upfront.</w:t>
            </w:r>
          </w:p>
          <w:p w14:paraId="6669C298" w14:textId="77777777" w:rsidR="005108CE" w:rsidRPr="005108CE" w:rsidRDefault="005108CE" w:rsidP="0005135C">
            <w:pPr>
              <w:numPr>
                <w:ilvl w:val="0"/>
                <w:numId w:val="15"/>
              </w:numPr>
              <w:spacing w:after="120"/>
              <w:jc w:val="left"/>
              <w:textAlignment w:val="center"/>
              <w:rPr>
                <w:rFonts w:ascii="Calibri" w:eastAsia="Times New Roman" w:hAnsi="Calibri" w:cs="Calibri"/>
                <w:sz w:val="22"/>
              </w:rPr>
            </w:pPr>
            <w:r w:rsidRPr="005108CE">
              <w:rPr>
                <w:rFonts w:ascii="Calibri" w:eastAsia="Times New Roman" w:hAnsi="Calibri" w:cs="Calibri"/>
                <w:color w:val="000000"/>
                <w:sz w:val="22"/>
              </w:rPr>
              <w:t>Option 3 (vivo): If UE needs to perform PBCH decoding and SSB-based T/F tracking according to the activated TCI during cell switch (i.e., T</w:t>
            </w:r>
            <w:r w:rsidRPr="005108CE">
              <w:rPr>
                <w:rFonts w:ascii="Calibri" w:eastAsia="Times New Roman" w:hAnsi="Calibri" w:cs="Calibri"/>
                <w:sz w:val="22"/>
                <w:vertAlign w:val="subscript"/>
              </w:rPr>
              <w:t>Δ</w:t>
            </w:r>
            <w:r w:rsidRPr="005108CE">
              <w:rPr>
                <w:rFonts w:ascii="Calibri" w:eastAsia="Times New Roman" w:hAnsi="Calibri" w:cs="Calibri"/>
                <w:sz w:val="22"/>
              </w:rPr>
              <w:t xml:space="preserve"> is needed), they are performed </w:t>
            </w:r>
            <w:r w:rsidRPr="005108CE">
              <w:rPr>
                <w:rFonts w:ascii="Calibri" w:eastAsia="Times New Roman" w:hAnsi="Calibri" w:cs="Calibri"/>
                <w:b/>
                <w:bCs/>
                <w:sz w:val="22"/>
              </w:rPr>
              <w:t>before T</w:t>
            </w:r>
            <w:r w:rsidRPr="005108CE">
              <w:rPr>
                <w:rFonts w:ascii="Calibri" w:eastAsia="Times New Roman" w:hAnsi="Calibri" w:cs="Calibri"/>
                <w:b/>
                <w:bCs/>
                <w:sz w:val="22"/>
                <w:vertAlign w:val="subscript"/>
              </w:rPr>
              <w:t xml:space="preserve">processing,2 </w:t>
            </w:r>
            <w:r w:rsidRPr="005108CE">
              <w:rPr>
                <w:rFonts w:ascii="Calibri" w:eastAsia="Times New Roman" w:hAnsi="Calibri" w:cs="Calibri"/>
                <w:sz w:val="22"/>
              </w:rPr>
              <w:t>so that the interruption to serving cell and target cell can be shortened.</w:t>
            </w:r>
          </w:p>
          <w:p w14:paraId="61B2198B" w14:textId="77777777" w:rsidR="005108CE" w:rsidRDefault="005108CE" w:rsidP="005108CE"/>
        </w:tc>
      </w:tr>
    </w:tbl>
    <w:p w14:paraId="7F1B9B5B" w14:textId="77777777" w:rsidR="005108CE" w:rsidRDefault="005108CE" w:rsidP="005108CE"/>
    <w:p w14:paraId="08F52B93" w14:textId="6BDB8032" w:rsidR="006215AD" w:rsidRDefault="006215AD" w:rsidP="006215AD">
      <w:r>
        <w:t>In our view, at least T</w:t>
      </w:r>
      <w:r w:rsidRPr="006215AD">
        <w:rPr>
          <w:vertAlign w:val="subscript"/>
        </w:rPr>
        <w:t>LTM-RRC-processing</w:t>
      </w:r>
      <w:r>
        <w:t>/</w:t>
      </w:r>
      <w:proofErr w:type="spellStart"/>
      <w:r>
        <w:t>T</w:t>
      </w:r>
      <w:r w:rsidRPr="006215AD">
        <w:rPr>
          <w:vertAlign w:val="subscript"/>
        </w:rPr>
        <w:t>execution</w:t>
      </w:r>
      <w:proofErr w:type="spellEnd"/>
      <w:r>
        <w:t xml:space="preserve"> should be outside of the interruption, since this </w:t>
      </w:r>
      <w:r w:rsidR="0076378F">
        <w:t>is a component for</w:t>
      </w:r>
      <w:r>
        <w:t xml:space="preserve"> RRC processing, which in any other existing handover scenario is also not part of the interruption.</w:t>
      </w:r>
    </w:p>
    <w:p w14:paraId="59EC9CE0" w14:textId="30FF97DF" w:rsidR="006215AD" w:rsidRDefault="006215AD" w:rsidP="006215AD">
      <w:pPr>
        <w:pStyle w:val="RAN4proposal"/>
      </w:pPr>
      <w:bookmarkStart w:id="12" w:name="_Toc149904401"/>
      <w:r>
        <w:t>T</w:t>
      </w:r>
      <w:r w:rsidRPr="003733EF">
        <w:rPr>
          <w:vertAlign w:val="subscript"/>
        </w:rPr>
        <w:t>LTM-RRC-processing</w:t>
      </w:r>
      <w:r>
        <w:t>/</w:t>
      </w:r>
      <w:proofErr w:type="spellStart"/>
      <w:r>
        <w:t>T</w:t>
      </w:r>
      <w:r w:rsidRPr="003733EF">
        <w:rPr>
          <w:vertAlign w:val="subscript"/>
        </w:rPr>
        <w:t>execution</w:t>
      </w:r>
      <w:proofErr w:type="spellEnd"/>
      <w:r>
        <w:t xml:space="preserve"> is</w:t>
      </w:r>
      <w:r w:rsidR="003733EF">
        <w:t xml:space="preserve"> not part of the interruption.</w:t>
      </w:r>
      <w:bookmarkEnd w:id="12"/>
    </w:p>
    <w:p w14:paraId="1067B816" w14:textId="439E23A8" w:rsidR="003733EF" w:rsidRDefault="003733EF" w:rsidP="003733EF">
      <w:r>
        <w:lastRenderedPageBreak/>
        <w:t xml:space="preserve">Furthermore, some companies suggested that </w:t>
      </w:r>
      <w:proofErr w:type="spellStart"/>
      <w:r w:rsidRPr="003733EF">
        <w:t>T</w:t>
      </w:r>
      <w:r w:rsidRPr="003733EF">
        <w:rPr>
          <w:vertAlign w:val="subscript"/>
        </w:rPr>
        <w:t>first</w:t>
      </w:r>
      <w:proofErr w:type="spellEnd"/>
      <w:r w:rsidRPr="003733EF">
        <w:rPr>
          <w:vertAlign w:val="subscript"/>
        </w:rPr>
        <w:t>-RS</w:t>
      </w:r>
      <w:r w:rsidRPr="003733EF">
        <w:t xml:space="preserve"> (T</w:t>
      </w:r>
      <w:r w:rsidRPr="003733EF">
        <w:rPr>
          <w:vertAlign w:val="subscript"/>
        </w:rPr>
        <w:t>Δ</w:t>
      </w:r>
      <w:r w:rsidRPr="003733EF">
        <w:t>) and T</w:t>
      </w:r>
      <w:r w:rsidRPr="003733EF">
        <w:rPr>
          <w:vertAlign w:val="subscript"/>
        </w:rPr>
        <w:t>RS-proc</w:t>
      </w:r>
      <w:r w:rsidRPr="003733EF">
        <w:t xml:space="preserve"> (</w:t>
      </w:r>
      <w:proofErr w:type="spellStart"/>
      <w:r w:rsidRPr="003733EF">
        <w:t>T</w:t>
      </w:r>
      <w:r w:rsidRPr="003733EF">
        <w:rPr>
          <w:vertAlign w:val="subscript"/>
        </w:rPr>
        <w:t>margin</w:t>
      </w:r>
      <w:proofErr w:type="spellEnd"/>
      <w:r w:rsidRPr="003733EF">
        <w:t>)</w:t>
      </w:r>
      <w:r w:rsidR="000430D8">
        <w:t>, if not zero,</w:t>
      </w:r>
      <w:r>
        <w:t xml:space="preserve"> do not need to be part of the interruption</w:t>
      </w:r>
      <w:r w:rsidR="006E48EF">
        <w:t xml:space="preserve"> either</w:t>
      </w:r>
      <w:r w:rsidR="00B3760F">
        <w:t xml:space="preserve"> i.e. these steps would be performed before T</w:t>
      </w:r>
      <w:r w:rsidR="00B3760F" w:rsidRPr="00B3760F">
        <w:rPr>
          <w:vertAlign w:val="subscript"/>
        </w:rPr>
        <w:t>LTM-processing</w:t>
      </w:r>
      <w:r w:rsidR="00B3760F">
        <w:t xml:space="preserve">. </w:t>
      </w:r>
      <w:r w:rsidR="006E48EF">
        <w:t>We are supportive for this proposal</w:t>
      </w:r>
      <w:r w:rsidR="00A33CE8">
        <w:t>, as it shortens the interruption even further</w:t>
      </w:r>
      <w:r w:rsidR="006E48EF">
        <w:t>.</w:t>
      </w:r>
    </w:p>
    <w:p w14:paraId="5F819F02" w14:textId="5CB07137" w:rsidR="003733EF" w:rsidRDefault="003733EF" w:rsidP="006E48EF">
      <w:pPr>
        <w:pStyle w:val="RAN4proposal"/>
        <w:rPr>
          <w:szCs w:val="22"/>
        </w:rPr>
      </w:pPr>
      <w:bookmarkStart w:id="13" w:name="_Toc149904402"/>
      <w:proofErr w:type="spellStart"/>
      <w:r w:rsidRPr="003733EF">
        <w:rPr>
          <w:szCs w:val="22"/>
        </w:rPr>
        <w:t>T</w:t>
      </w:r>
      <w:r w:rsidRPr="003733EF">
        <w:rPr>
          <w:szCs w:val="22"/>
          <w:vertAlign w:val="subscript"/>
        </w:rPr>
        <w:t>first</w:t>
      </w:r>
      <w:proofErr w:type="spellEnd"/>
      <w:r w:rsidRPr="003733EF">
        <w:rPr>
          <w:szCs w:val="22"/>
          <w:vertAlign w:val="subscript"/>
        </w:rPr>
        <w:t>-RS</w:t>
      </w:r>
      <w:r w:rsidRPr="003733EF">
        <w:rPr>
          <w:szCs w:val="22"/>
        </w:rPr>
        <w:t xml:space="preserve"> (T</w:t>
      </w:r>
      <w:r w:rsidRPr="003733EF">
        <w:rPr>
          <w:szCs w:val="22"/>
          <w:vertAlign w:val="subscript"/>
        </w:rPr>
        <w:t>Δ</w:t>
      </w:r>
      <w:r w:rsidRPr="003733EF">
        <w:rPr>
          <w:szCs w:val="22"/>
        </w:rPr>
        <w:t>) and T</w:t>
      </w:r>
      <w:r w:rsidRPr="003733EF">
        <w:rPr>
          <w:szCs w:val="22"/>
          <w:vertAlign w:val="subscript"/>
        </w:rPr>
        <w:t>RS-proc</w:t>
      </w:r>
      <w:r w:rsidRPr="003733EF">
        <w:rPr>
          <w:szCs w:val="22"/>
        </w:rPr>
        <w:t xml:space="preserve"> (</w:t>
      </w:r>
      <w:proofErr w:type="spellStart"/>
      <w:r w:rsidRPr="003733EF">
        <w:rPr>
          <w:szCs w:val="22"/>
        </w:rPr>
        <w:t>T</w:t>
      </w:r>
      <w:r w:rsidRPr="003733EF">
        <w:rPr>
          <w:szCs w:val="22"/>
          <w:vertAlign w:val="subscript"/>
        </w:rPr>
        <w:t>margin</w:t>
      </w:r>
      <w:proofErr w:type="spellEnd"/>
      <w:r w:rsidRPr="003733EF">
        <w:rPr>
          <w:szCs w:val="22"/>
        </w:rPr>
        <w:t>)</w:t>
      </w:r>
      <w:r w:rsidR="005D6D33">
        <w:rPr>
          <w:szCs w:val="22"/>
        </w:rPr>
        <w:t xml:space="preserve"> are not part of the interruption.</w:t>
      </w:r>
      <w:bookmarkEnd w:id="13"/>
    </w:p>
    <w:p w14:paraId="6B6F06E2" w14:textId="77A3D2DD" w:rsidR="005D6D33" w:rsidRDefault="005D6D33" w:rsidP="005D6D33">
      <w:r>
        <w:t>Hence, the interruption would only consist of:</w:t>
      </w:r>
    </w:p>
    <w:p w14:paraId="64152889" w14:textId="225A290A" w:rsidR="005D6D33" w:rsidRPr="007A7099" w:rsidRDefault="005D6D33" w:rsidP="007A7099">
      <w:pPr>
        <w:pStyle w:val="RAN4proposal"/>
      </w:pPr>
      <w:bookmarkStart w:id="14" w:name="_Toc149904403"/>
      <w:proofErr w:type="spellStart"/>
      <w:r w:rsidRPr="007A7099">
        <w:t>T</w:t>
      </w:r>
      <w:r w:rsidRPr="007A7099">
        <w:rPr>
          <w:vertAlign w:val="subscript"/>
        </w:rPr>
        <w:t>interrupt</w:t>
      </w:r>
      <w:proofErr w:type="spellEnd"/>
      <w:r w:rsidRPr="007A7099">
        <w:t xml:space="preserve"> = T</w:t>
      </w:r>
      <w:r w:rsidRPr="007A7099">
        <w:rPr>
          <w:vertAlign w:val="subscript"/>
        </w:rPr>
        <w:t>LTM-processing</w:t>
      </w:r>
      <w:r w:rsidRPr="007A7099">
        <w:t xml:space="preserve"> + T</w:t>
      </w:r>
      <w:r w:rsidR="0016705C" w:rsidRPr="007A7099">
        <w:rPr>
          <w:vertAlign w:val="subscript"/>
        </w:rPr>
        <w:t>LTM-I</w:t>
      </w:r>
      <w:r w:rsidRPr="007A7099">
        <w:rPr>
          <w:vertAlign w:val="subscript"/>
        </w:rPr>
        <w:t>U</w:t>
      </w:r>
      <w:r w:rsidRPr="007A7099">
        <w:t>.</w:t>
      </w:r>
      <w:bookmarkEnd w:id="14"/>
    </w:p>
    <w:p w14:paraId="28A357EF" w14:textId="7B3095CE" w:rsidR="005108CE" w:rsidRDefault="005108CE" w:rsidP="005108CE">
      <w:pPr>
        <w:pStyle w:val="RAN4H1"/>
      </w:pPr>
      <w:r>
        <w:t>Known conditions</w:t>
      </w:r>
    </w:p>
    <w:p w14:paraId="3DBA42C4" w14:textId="1608D330" w:rsidR="005108CE" w:rsidRDefault="005108CE" w:rsidP="005108CE">
      <w:pPr>
        <w:pStyle w:val="RAN4H2"/>
      </w:pPr>
      <w:r>
        <w:t>Known cell condition</w:t>
      </w:r>
    </w:p>
    <w:p w14:paraId="27F48B87" w14:textId="531BACBE" w:rsidR="00765209" w:rsidRPr="00765209" w:rsidRDefault="00765209" w:rsidP="00765209">
      <w:r>
        <w:t>In the last meeting the following was agreed about the known cell condition. It was left open whether a time constraint will be introduced.</w:t>
      </w:r>
    </w:p>
    <w:tbl>
      <w:tblPr>
        <w:tblStyle w:val="TableGrid"/>
        <w:tblW w:w="0" w:type="auto"/>
        <w:tblLook w:val="04A0" w:firstRow="1" w:lastRow="0" w:firstColumn="1" w:lastColumn="0" w:noHBand="0" w:noVBand="1"/>
      </w:tblPr>
      <w:tblGrid>
        <w:gridCol w:w="9617"/>
      </w:tblGrid>
      <w:tr w:rsidR="005108CE" w14:paraId="698FDC67" w14:textId="77777777" w:rsidTr="005108CE">
        <w:tc>
          <w:tcPr>
            <w:tcW w:w="9617" w:type="dxa"/>
          </w:tcPr>
          <w:p w14:paraId="4F0739D4" w14:textId="77777777" w:rsidR="005108CE" w:rsidRPr="005108CE" w:rsidRDefault="005108CE" w:rsidP="005108CE">
            <w:pPr>
              <w:spacing w:after="120"/>
              <w:jc w:val="left"/>
              <w:rPr>
                <w:rFonts w:ascii="Calibri" w:eastAsia="Times New Roman" w:hAnsi="Calibri" w:cs="Calibri"/>
                <w:sz w:val="22"/>
              </w:rPr>
            </w:pPr>
            <w:r w:rsidRPr="005108CE">
              <w:rPr>
                <w:rFonts w:ascii="Calibri" w:eastAsia="Times New Roman" w:hAnsi="Calibri" w:cs="Calibri"/>
                <w:b/>
                <w:bCs/>
                <w:sz w:val="22"/>
                <w:u w:val="single"/>
              </w:rPr>
              <w:t>Issue 3-4-1: known cell conditions</w:t>
            </w:r>
          </w:p>
          <w:p w14:paraId="63424EC2" w14:textId="77777777" w:rsidR="005108CE" w:rsidRPr="005108CE" w:rsidRDefault="005108CE" w:rsidP="005108CE">
            <w:pPr>
              <w:spacing w:after="120"/>
              <w:jc w:val="left"/>
              <w:rPr>
                <w:rFonts w:ascii="Calibri" w:eastAsia="Times New Roman" w:hAnsi="Calibri" w:cs="Calibri"/>
                <w:color w:val="0070C0"/>
                <w:sz w:val="22"/>
              </w:rPr>
            </w:pPr>
            <w:r w:rsidRPr="005108CE">
              <w:rPr>
                <w:rFonts w:ascii="Calibri" w:eastAsia="Times New Roman" w:hAnsi="Calibri" w:cs="Calibri"/>
                <w:i/>
                <w:iCs/>
                <w:color w:val="0070C0"/>
                <w:sz w:val="22"/>
              </w:rPr>
              <w:t>The controversial parts are in brackets.</w:t>
            </w:r>
          </w:p>
          <w:p w14:paraId="01D45307" w14:textId="77777777" w:rsidR="005108CE" w:rsidRPr="005108CE" w:rsidRDefault="005108CE" w:rsidP="005108CE">
            <w:pPr>
              <w:spacing w:after="120"/>
              <w:jc w:val="left"/>
              <w:rPr>
                <w:rFonts w:ascii="Calibri" w:eastAsia="Times New Roman" w:hAnsi="Calibri" w:cs="Calibri"/>
                <w:sz w:val="22"/>
              </w:rPr>
            </w:pPr>
            <w:r w:rsidRPr="005108CE">
              <w:rPr>
                <w:rFonts w:ascii="Calibri" w:eastAsia="Times New Roman" w:hAnsi="Calibri" w:cs="Calibri"/>
                <w:b/>
                <w:bCs/>
                <w:sz w:val="22"/>
              </w:rPr>
              <w:t>&lt; FFS&gt;</w:t>
            </w:r>
            <w:r w:rsidRPr="005108CE">
              <w:rPr>
                <w:rFonts w:ascii="Calibri" w:eastAsia="Times New Roman" w:hAnsi="Calibri" w:cs="Calibri"/>
                <w:sz w:val="22"/>
              </w:rPr>
              <w:t xml:space="preserve">: </w:t>
            </w:r>
          </w:p>
          <w:p w14:paraId="4981F242" w14:textId="77777777" w:rsidR="005108CE" w:rsidRPr="005108CE" w:rsidRDefault="005108CE" w:rsidP="0005135C">
            <w:pPr>
              <w:numPr>
                <w:ilvl w:val="0"/>
                <w:numId w:val="21"/>
              </w:numPr>
              <w:spacing w:after="120"/>
              <w:jc w:val="left"/>
              <w:textAlignment w:val="center"/>
              <w:rPr>
                <w:rFonts w:ascii="Calibri" w:eastAsia="Times New Roman" w:hAnsi="Calibri" w:cs="Calibri"/>
                <w:sz w:val="22"/>
              </w:rPr>
            </w:pPr>
            <w:r w:rsidRPr="005108CE">
              <w:rPr>
                <w:rFonts w:ascii="Calibri" w:eastAsia="Times New Roman" w:hAnsi="Calibri" w:cs="Calibri"/>
                <w:sz w:val="22"/>
              </w:rPr>
              <w:t>Use the following known cell condition as a baseline</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901"/>
            </w:tblGrid>
            <w:tr w:rsidR="005108CE" w:rsidRPr="005108CE" w14:paraId="15343AB6" w14:textId="77777777" w:rsidTr="00457730">
              <w:tc>
                <w:tcPr>
                  <w:tcW w:w="104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37A918" w14:textId="77777777" w:rsidR="005108CE" w:rsidRPr="005108CE" w:rsidRDefault="005108CE" w:rsidP="005108CE">
                  <w:pPr>
                    <w:spacing w:line="240" w:lineRule="auto"/>
                    <w:jc w:val="left"/>
                    <w:rPr>
                      <w:rFonts w:ascii="Calibri" w:eastAsia="Times New Roman" w:hAnsi="Calibri" w:cs="Calibri"/>
                      <w:sz w:val="22"/>
                    </w:rPr>
                  </w:pPr>
                  <w:r w:rsidRPr="005108CE">
                    <w:rPr>
                      <w:rFonts w:ascii="Calibri" w:eastAsia="Times New Roman" w:hAnsi="Calibri" w:cs="Calibri"/>
                      <w:sz w:val="22"/>
                    </w:rPr>
                    <w:t>The target cell is known if it has been meeting the following conditions:</w:t>
                  </w:r>
                </w:p>
                <w:p w14:paraId="075EC368" w14:textId="77777777" w:rsidR="005108CE" w:rsidRPr="005A3071" w:rsidRDefault="005108CE" w:rsidP="005108CE">
                  <w:pPr>
                    <w:spacing w:line="240" w:lineRule="auto"/>
                    <w:jc w:val="left"/>
                    <w:rPr>
                      <w:rFonts w:ascii="Calibri" w:eastAsia="Times New Roman" w:hAnsi="Calibri" w:cs="Calibri"/>
                      <w:sz w:val="22"/>
                    </w:rPr>
                  </w:pPr>
                  <w:r w:rsidRPr="005A3071">
                    <w:rPr>
                      <w:rFonts w:ascii="Calibri" w:eastAsia="Times New Roman" w:hAnsi="Calibri" w:cs="Calibri"/>
                      <w:sz w:val="22"/>
                    </w:rPr>
                    <w:t xml:space="preserve">-    </w:t>
                  </w:r>
                  <w:r w:rsidRPr="005A3071">
                    <w:rPr>
                      <w:rFonts w:ascii="Calibri" w:eastAsia="Times New Roman" w:hAnsi="Calibri" w:cs="Calibri"/>
                      <w:b/>
                      <w:bCs/>
                      <w:sz w:val="22"/>
                    </w:rPr>
                    <w:t>[</w:t>
                  </w:r>
                  <w:r w:rsidRPr="005A3071">
                    <w:rPr>
                      <w:rFonts w:ascii="Calibri" w:eastAsia="Times New Roman" w:hAnsi="Calibri" w:cs="Calibri"/>
                      <w:sz w:val="22"/>
                    </w:rPr>
                    <w:t xml:space="preserve">During the last 5 seconds before the reception of the </w:t>
                  </w:r>
                  <w:r w:rsidRPr="005A3071">
                    <w:rPr>
                      <w:rFonts w:ascii="Calibri" w:eastAsia="Times New Roman" w:hAnsi="Calibri" w:cs="Calibri"/>
                      <w:strike/>
                      <w:color w:val="C00000"/>
                      <w:sz w:val="22"/>
                      <w:u w:val="single"/>
                    </w:rPr>
                    <w:t>handover</w:t>
                  </w:r>
                  <w:r w:rsidRPr="005A3071">
                    <w:rPr>
                      <w:rFonts w:ascii="Calibri" w:eastAsia="Times New Roman" w:hAnsi="Calibri" w:cs="Calibri"/>
                      <w:color w:val="C00000"/>
                      <w:sz w:val="22"/>
                      <w:u w:val="single"/>
                    </w:rPr>
                    <w:t xml:space="preserve"> cell </w:t>
                  </w:r>
                  <w:proofErr w:type="spellStart"/>
                  <w:r w:rsidRPr="005A3071">
                    <w:rPr>
                      <w:rFonts w:ascii="Calibri" w:eastAsia="Times New Roman" w:hAnsi="Calibri" w:cs="Calibri"/>
                      <w:color w:val="C00000"/>
                      <w:sz w:val="22"/>
                      <w:u w:val="single"/>
                    </w:rPr>
                    <w:t>switch</w:t>
                  </w:r>
                  <w:r w:rsidRPr="005A3071">
                    <w:rPr>
                      <w:rFonts w:ascii="Calibri" w:eastAsia="Times New Roman" w:hAnsi="Calibri" w:cs="Calibri"/>
                      <w:sz w:val="22"/>
                    </w:rPr>
                    <w:t>command</w:t>
                  </w:r>
                  <w:proofErr w:type="spellEnd"/>
                  <w:r w:rsidRPr="005A3071">
                    <w:rPr>
                      <w:rFonts w:ascii="Calibri" w:eastAsia="Times New Roman" w:hAnsi="Calibri" w:cs="Calibri"/>
                      <w:b/>
                      <w:bCs/>
                      <w:sz w:val="22"/>
                    </w:rPr>
                    <w:t>]</w:t>
                  </w:r>
                  <w:r w:rsidRPr="005A3071">
                    <w:rPr>
                      <w:rFonts w:ascii="Calibri" w:eastAsia="Times New Roman" w:hAnsi="Calibri" w:cs="Calibri"/>
                      <w:sz w:val="22"/>
                    </w:rPr>
                    <w:t>:</w:t>
                  </w:r>
                </w:p>
                <w:p w14:paraId="597B1D69" w14:textId="77777777" w:rsidR="005108CE" w:rsidRPr="005A3071" w:rsidRDefault="005108CE" w:rsidP="005108CE">
                  <w:pPr>
                    <w:spacing w:line="240" w:lineRule="auto"/>
                    <w:ind w:left="540"/>
                    <w:jc w:val="left"/>
                    <w:rPr>
                      <w:rFonts w:ascii="Calibri" w:eastAsia="Times New Roman" w:hAnsi="Calibri" w:cs="Calibri"/>
                      <w:sz w:val="22"/>
                    </w:rPr>
                  </w:pPr>
                  <w:r w:rsidRPr="005A3071">
                    <w:rPr>
                      <w:rFonts w:ascii="Calibri" w:eastAsia="Times New Roman" w:hAnsi="Calibri" w:cs="Calibri"/>
                      <w:sz w:val="22"/>
                    </w:rPr>
                    <w:t xml:space="preserve">-    [the UE has sent a valid </w:t>
                  </w:r>
                  <w:r w:rsidRPr="005A3071">
                    <w:rPr>
                      <w:rFonts w:ascii="Calibri" w:eastAsia="Times New Roman" w:hAnsi="Calibri" w:cs="Calibri"/>
                      <w:color w:val="C00000"/>
                      <w:sz w:val="22"/>
                      <w:u w:val="single"/>
                    </w:rPr>
                    <w:t xml:space="preserve">L1 [or L3] </w:t>
                  </w:r>
                  <w:r w:rsidRPr="005A3071">
                    <w:rPr>
                      <w:rFonts w:ascii="Calibri" w:eastAsia="Times New Roman" w:hAnsi="Calibri" w:cs="Calibri"/>
                      <w:sz w:val="22"/>
                    </w:rPr>
                    <w:t>measurement report for the target cell]and</w:t>
                  </w:r>
                </w:p>
                <w:p w14:paraId="63241A90" w14:textId="77777777" w:rsidR="005108CE" w:rsidRPr="005108CE" w:rsidRDefault="005108CE" w:rsidP="005108CE">
                  <w:pPr>
                    <w:spacing w:line="240" w:lineRule="auto"/>
                    <w:ind w:left="540"/>
                    <w:jc w:val="left"/>
                    <w:rPr>
                      <w:rFonts w:ascii="Calibri" w:eastAsia="Times New Roman" w:hAnsi="Calibri" w:cs="Calibri"/>
                      <w:sz w:val="22"/>
                    </w:rPr>
                  </w:pPr>
                  <w:r w:rsidRPr="005A3071">
                    <w:rPr>
                      <w:rFonts w:ascii="Calibri" w:eastAsia="Times New Roman" w:hAnsi="Calibri" w:cs="Calibri"/>
                      <w:sz w:val="22"/>
                    </w:rPr>
                    <w:t>-    One of the SSBs measured from the NR target cell being configured remains detectable according to the cell identification conditions specified in clause 9.2 for intra-frequency cell and in clause 9.3 for inter-frequency cell,</w:t>
                  </w:r>
                </w:p>
                <w:p w14:paraId="7B1BE2D8" w14:textId="77777777" w:rsidR="005108CE" w:rsidRPr="005108CE" w:rsidRDefault="005108CE" w:rsidP="005108CE">
                  <w:pPr>
                    <w:spacing w:line="240" w:lineRule="auto"/>
                    <w:jc w:val="left"/>
                    <w:rPr>
                      <w:rFonts w:ascii="Calibri" w:eastAsia="Times New Roman" w:hAnsi="Calibri" w:cs="Calibri"/>
                      <w:sz w:val="22"/>
                    </w:rPr>
                  </w:pPr>
                  <w:r w:rsidRPr="005108CE">
                    <w:rPr>
                      <w:rFonts w:ascii="Calibri" w:eastAsia="Times New Roman" w:hAnsi="Calibri" w:cs="Calibri"/>
                      <w:sz w:val="22"/>
                    </w:rPr>
                    <w:t xml:space="preserve">-    One of the SSBs measured from the target cell also remains detectable during the </w:t>
                  </w:r>
                  <w:r w:rsidRPr="005108CE">
                    <w:rPr>
                      <w:rFonts w:ascii="Calibri" w:eastAsia="Times New Roman" w:hAnsi="Calibri" w:cs="Calibri"/>
                      <w:strike/>
                      <w:color w:val="C00000"/>
                      <w:sz w:val="22"/>
                      <w:u w:val="single"/>
                    </w:rPr>
                    <w:t>handover</w:t>
                  </w:r>
                  <w:r w:rsidRPr="005108CE">
                    <w:rPr>
                      <w:rFonts w:ascii="Calibri" w:eastAsia="Times New Roman" w:hAnsi="Calibri" w:cs="Calibri"/>
                      <w:color w:val="C00000"/>
                      <w:sz w:val="22"/>
                      <w:u w:val="single"/>
                    </w:rPr>
                    <w:t xml:space="preserve"> cell </w:t>
                  </w:r>
                  <w:proofErr w:type="spellStart"/>
                  <w:r w:rsidRPr="005108CE">
                    <w:rPr>
                      <w:rFonts w:ascii="Calibri" w:eastAsia="Times New Roman" w:hAnsi="Calibri" w:cs="Calibri"/>
                      <w:color w:val="C00000"/>
                      <w:sz w:val="22"/>
                      <w:u w:val="single"/>
                    </w:rPr>
                    <w:t>switch</w:t>
                  </w:r>
                  <w:r w:rsidRPr="005108CE">
                    <w:rPr>
                      <w:rFonts w:ascii="Calibri" w:eastAsia="Times New Roman" w:hAnsi="Calibri" w:cs="Calibri"/>
                      <w:sz w:val="22"/>
                    </w:rPr>
                    <w:t>delay</w:t>
                  </w:r>
                  <w:proofErr w:type="spellEnd"/>
                  <w:r w:rsidRPr="005108CE">
                    <w:rPr>
                      <w:rFonts w:ascii="Calibri" w:eastAsia="Times New Roman" w:hAnsi="Calibri" w:cs="Calibri"/>
                      <w:sz w:val="22"/>
                    </w:rPr>
                    <w:t xml:space="preserve"> according to the cell identification conditions specified in clause 9.2 for intra-frequency cell and in clause 9.3 for inter-frequency cell.</w:t>
                  </w:r>
                </w:p>
                <w:p w14:paraId="77DA852E" w14:textId="77777777" w:rsidR="005108CE" w:rsidRPr="005108CE" w:rsidRDefault="005108CE" w:rsidP="005108CE">
                  <w:pPr>
                    <w:spacing w:line="240" w:lineRule="auto"/>
                    <w:jc w:val="left"/>
                    <w:rPr>
                      <w:rFonts w:ascii="Calibri" w:eastAsia="Times New Roman" w:hAnsi="Calibri" w:cs="Calibri"/>
                      <w:sz w:val="22"/>
                    </w:rPr>
                  </w:pPr>
                  <w:r w:rsidRPr="005108CE">
                    <w:rPr>
                      <w:rFonts w:ascii="Calibri" w:eastAsia="Times New Roman" w:hAnsi="Calibri" w:cs="Calibri"/>
                      <w:sz w:val="22"/>
                    </w:rPr>
                    <w:t>otherwise it is unknown.</w:t>
                  </w:r>
                </w:p>
              </w:tc>
            </w:tr>
          </w:tbl>
          <w:p w14:paraId="0701C283" w14:textId="5F1E3F40" w:rsidR="005108CE" w:rsidRPr="005108CE" w:rsidRDefault="005108CE" w:rsidP="005A3071">
            <w:pPr>
              <w:ind w:left="1080"/>
              <w:jc w:val="left"/>
              <w:rPr>
                <w:rFonts w:ascii="Calibri" w:eastAsia="Times New Roman" w:hAnsi="Calibri" w:cs="Calibri"/>
                <w:sz w:val="22"/>
              </w:rPr>
            </w:pPr>
            <w:r w:rsidRPr="005108CE">
              <w:rPr>
                <w:rFonts w:ascii="Calibri" w:eastAsia="Times New Roman" w:hAnsi="Calibri" w:cs="Calibri"/>
                <w:sz w:val="22"/>
              </w:rPr>
              <w:t> </w:t>
            </w:r>
          </w:p>
        </w:tc>
      </w:tr>
    </w:tbl>
    <w:p w14:paraId="1ECE8516" w14:textId="77777777" w:rsidR="005108CE" w:rsidRDefault="005108CE" w:rsidP="005108CE"/>
    <w:p w14:paraId="7778F2ED" w14:textId="68DAAF6C" w:rsidR="00765209" w:rsidRPr="00B25ED5" w:rsidRDefault="0070428F" w:rsidP="00765209">
      <w:r>
        <w:t>The agreement is based on the known cell condition a</w:t>
      </w:r>
      <w:r w:rsidR="00765209" w:rsidRPr="00F51067">
        <w:t>s stated in 38.133, section 9.13, for L1-RSRP measurement of a cell with different PCI than the serving cell</w:t>
      </w:r>
      <w:r>
        <w:t>. This</w:t>
      </w:r>
      <w:r w:rsidR="00765209" w:rsidRPr="00F51067">
        <w:t xml:space="preserve"> known condition is defined for ICBM, which is a procedure that involves serving cell and assistant cell/s for enhancing data transmission reliability. In ICBM, no mobility is involved, </w:t>
      </w:r>
      <w:r w:rsidR="006C2C9B">
        <w:t xml:space="preserve">and the </w:t>
      </w:r>
      <w:r w:rsidR="00765209" w:rsidRPr="00F51067">
        <w:t xml:space="preserve">UE will only listen to the common search </w:t>
      </w:r>
      <w:r w:rsidR="00765209" w:rsidRPr="00B25ED5">
        <w:t xml:space="preserve">space of the serving cell and listen to the broadcast channel of the serving cell. Hence, these will not be received from the cell with different PCI. ICBM focus on the TCI state of the assistant cells is for the purpose of data reception. </w:t>
      </w:r>
    </w:p>
    <w:p w14:paraId="760C5CD7" w14:textId="77777777" w:rsidR="00765209" w:rsidRPr="00465E07" w:rsidRDefault="00765209" w:rsidP="00765209">
      <w:pPr>
        <w:rPr>
          <w:lang w:val="en-GB"/>
        </w:rPr>
      </w:pPr>
      <w:r w:rsidRPr="00465E07">
        <w:t>LTM</w:t>
      </w:r>
      <w:r w:rsidRPr="00465E07" w:rsidDel="001120E1">
        <w:t xml:space="preserve"> </w:t>
      </w:r>
      <w:r w:rsidRPr="00465E07">
        <w:t xml:space="preserve">procedure is different from ICBM as it </w:t>
      </w:r>
      <w:r w:rsidRPr="007744F0">
        <w:t>also supports</w:t>
      </w:r>
      <w:r w:rsidRPr="00465E07">
        <w:t xml:space="preserve"> mobility between 2 cells while no data reception from the 2 cells is ongoing. It</w:t>
      </w:r>
      <w:r w:rsidRPr="00465E07" w:rsidDel="00943D6C">
        <w:t xml:space="preserve"> </w:t>
      </w:r>
      <w:r w:rsidRPr="00465E07">
        <w:t>can be seen as a complementary handover procedure that goes along side with L3 handover by utilizing lower layer measurements. Hence, if RAN4 decide</w:t>
      </w:r>
      <w:r>
        <w:t>s</w:t>
      </w:r>
      <w:r w:rsidRPr="00465E07">
        <w:t xml:space="preserve"> to use the requirements in section 9.13, RAN4 need</w:t>
      </w:r>
      <w:r>
        <w:t>s</w:t>
      </w:r>
      <w:r w:rsidRPr="00465E07">
        <w:t xml:space="preserve"> to discuss the very basic applicability conditions. </w:t>
      </w:r>
    </w:p>
    <w:p w14:paraId="53528FED" w14:textId="77777777" w:rsidR="00765209" w:rsidRPr="00465E07" w:rsidRDefault="00765209" w:rsidP="00765209">
      <w:r w:rsidRPr="00465E07">
        <w:t>The network can configure the UE with event-based reporting which will inform the network when a cell fulfils an event decided by ‘enter’ conditions. Network can also use event-based reporting to ensure that network is informed when a cell no longer fulfils an event decided by ‘leave’ condition.</w:t>
      </w:r>
    </w:p>
    <w:p w14:paraId="21685FA0" w14:textId="77777777" w:rsidR="00765209" w:rsidRPr="00465E07" w:rsidRDefault="00765209" w:rsidP="00765209">
      <w:r w:rsidRPr="00465E07">
        <w:lastRenderedPageBreak/>
        <w:t>Hence, by use of ‘enter’ and ‘leave’ conditions the network will know if an LTM target cell is a potential candidate for further LTM measurements. By use of event-based measurement report triggers, the network can avoid configuring the UE to send periodic measurement reports.</w:t>
      </w:r>
    </w:p>
    <w:p w14:paraId="3C293F83" w14:textId="77777777" w:rsidR="00765209" w:rsidRPr="00465E07" w:rsidRDefault="00765209" w:rsidP="00765209">
      <w:r w:rsidRPr="00465E07">
        <w:t xml:space="preserve">Network may of course use periodic measurement reporting, but this is often seen as bringing additional, and in many </w:t>
      </w:r>
      <w:r w:rsidRPr="007744F0">
        <w:t>situations</w:t>
      </w:r>
      <w:r w:rsidRPr="00465E07">
        <w:t xml:space="preserve"> unnecessary, measurement reporting overhead. </w:t>
      </w:r>
    </w:p>
    <w:p w14:paraId="15765BE2" w14:textId="09369F9F" w:rsidR="00765209" w:rsidRPr="00465E07" w:rsidRDefault="00765209" w:rsidP="00765209">
      <w:r w:rsidRPr="00465E07">
        <w:t xml:space="preserve">However, if RAN4 keeps the ‘The UE has sent a valid </w:t>
      </w:r>
      <w:r w:rsidR="004C5506">
        <w:t>L1 [or L3]</w:t>
      </w:r>
      <w:r w:rsidRPr="00465E07">
        <w:t xml:space="preserve"> measurement report during the last 5 seconds’ condition for the target LTM cell to be known, the network would have to configure the UE to transmit measurement reports regularly. Only this way can the network ensure that it will receive </w:t>
      </w:r>
      <w:r w:rsidR="004C5506">
        <w:t>L!/</w:t>
      </w:r>
      <w:r w:rsidRPr="00465E07">
        <w:t xml:space="preserve">L3 measurement report from the UE to fulfill the known condition. And only this way would the network be sure that at least that condition is seen as fulfilled on UE side. </w:t>
      </w:r>
    </w:p>
    <w:p w14:paraId="78AFB807" w14:textId="27AB7EBC" w:rsidR="00765209" w:rsidRPr="00465E07" w:rsidRDefault="00765209" w:rsidP="00765209">
      <w:r w:rsidRPr="00465E07">
        <w:t xml:space="preserve">As a result, we find that it is redundant to have the condition “during the last 5 seconds” as part of having an LTM cell being considered as known. </w:t>
      </w:r>
    </w:p>
    <w:p w14:paraId="0833D6F6" w14:textId="77777777" w:rsidR="00765209" w:rsidRPr="00AE58E8" w:rsidRDefault="00765209" w:rsidP="00765209">
      <w:r w:rsidRPr="00465E07">
        <w:t>The 5 seconds does not guarantee that the channel is usable for the network or UE, especially in mobility and</w:t>
      </w:r>
      <w:r w:rsidRPr="00465E07">
        <w:rPr>
          <w:lang w:val="en-GB"/>
        </w:rPr>
        <w:t>/or in FR2 scenarios</w:t>
      </w:r>
      <w:r w:rsidRPr="00465E07">
        <w:t xml:space="preserve">. It is more important to have real conditions that inform the network about real UE state rather than an arbitrary time limitation. </w:t>
      </w:r>
    </w:p>
    <w:p w14:paraId="47CA5CEE" w14:textId="77777777" w:rsidR="00765209" w:rsidRDefault="00765209" w:rsidP="00765209">
      <w:pPr>
        <w:pStyle w:val="RAN4proposal"/>
      </w:pPr>
      <w:bookmarkStart w:id="15" w:name="_Toc149904404"/>
      <w:r>
        <w:t>For Rel-18 LTM, remove “</w:t>
      </w:r>
      <w:r w:rsidRPr="00AE58E8">
        <w:rPr>
          <w:color w:val="FF0000"/>
        </w:rPr>
        <w:t xml:space="preserve">during the </w:t>
      </w:r>
      <w:r w:rsidRPr="00465E07">
        <w:rPr>
          <w:color w:val="FF0000"/>
        </w:rPr>
        <w:t>last 5 seconds</w:t>
      </w:r>
      <w:r>
        <w:t>” from the known cell conditions.</w:t>
      </w:r>
      <w:bookmarkEnd w:id="15"/>
    </w:p>
    <w:p w14:paraId="395BEDD4" w14:textId="77777777" w:rsidR="00765209" w:rsidRPr="00180DA2" w:rsidRDefault="00765209" w:rsidP="00765209"/>
    <w:p w14:paraId="16BFAFEA" w14:textId="77777777" w:rsidR="00765209" w:rsidRDefault="00765209" w:rsidP="00765209">
      <w:pPr>
        <w:pStyle w:val="RAN4observation0"/>
        <w:numPr>
          <w:ilvl w:val="0"/>
          <w:numId w:val="0"/>
        </w:numPr>
      </w:pPr>
    </w:p>
    <w:p w14:paraId="52CC6BF0" w14:textId="77777777" w:rsidR="00765209" w:rsidRDefault="00765209" w:rsidP="00765209">
      <w:r>
        <w:rPr>
          <w:noProof/>
        </w:rPr>
        <w:drawing>
          <wp:inline distT="0" distB="0" distL="0" distR="0" wp14:anchorId="5CB656C9" wp14:editId="5A2C4F95">
            <wp:extent cx="6131716" cy="2410779"/>
            <wp:effectExtent l="0" t="0" r="2540" b="8890"/>
            <wp:docPr id="2032626064" name="Picture 203262606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ell phon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48988" cy="2417570"/>
                    </a:xfrm>
                    <a:prstGeom prst="rect">
                      <a:avLst/>
                    </a:prstGeom>
                    <a:noFill/>
                  </pic:spPr>
                </pic:pic>
              </a:graphicData>
            </a:graphic>
          </wp:inline>
        </w:drawing>
      </w:r>
    </w:p>
    <w:p w14:paraId="0755BE6B" w14:textId="77777777" w:rsidR="00765209" w:rsidRDefault="00765209" w:rsidP="00765209">
      <w:pPr>
        <w:pStyle w:val="Caption"/>
      </w:pPr>
      <w:r>
        <w:t xml:space="preserve">Figure </w:t>
      </w:r>
      <w:r>
        <w:fldChar w:fldCharType="begin"/>
      </w:r>
      <w:r>
        <w:instrText>SEQ Figure \* ARABIC</w:instrText>
      </w:r>
      <w:r w:rsidR="000F3F4A">
        <w:fldChar w:fldCharType="separate"/>
      </w:r>
      <w:r>
        <w:fldChar w:fldCharType="end"/>
      </w:r>
      <w:r>
        <w:t>: Non-detectable cells, known cells, and expired but detectable cells</w:t>
      </w:r>
    </w:p>
    <w:p w14:paraId="7F76B561" w14:textId="77777777" w:rsidR="00765209" w:rsidRDefault="00765209" w:rsidP="00765209">
      <w:r>
        <w:t>The known condition is currently only visible for the UE. The real known condition is defined whether “</w:t>
      </w:r>
      <w:r w:rsidRPr="0085666F">
        <w:rPr>
          <w:i/>
          <w:iCs/>
        </w:rPr>
        <w:t>The SSB from the target cell remains detectable according to the cell identification requirements specified in clause 9.2 and 9.3</w:t>
      </w:r>
      <w:r>
        <w:rPr>
          <w:i/>
          <w:iCs/>
        </w:rPr>
        <w:t>”</w:t>
      </w:r>
      <w:r w:rsidRPr="0085666F">
        <w:t>.</w:t>
      </w:r>
    </w:p>
    <w:p w14:paraId="08195862" w14:textId="77777777" w:rsidR="00765209" w:rsidRDefault="00765209" w:rsidP="00765209">
      <w:pPr>
        <w:pStyle w:val="RAN4observation0"/>
      </w:pPr>
      <w:bookmarkStart w:id="16" w:name="_Toc149904405"/>
      <w:r>
        <w:t>Known cell condition is currently not fully visible to the network.</w:t>
      </w:r>
      <w:bookmarkEnd w:id="16"/>
      <w:r>
        <w:t xml:space="preserve"> </w:t>
      </w:r>
    </w:p>
    <w:p w14:paraId="4F604ABE" w14:textId="77777777" w:rsidR="00765209" w:rsidRDefault="00765209" w:rsidP="00765209">
      <w:r>
        <w:t xml:space="preserve">As mentioned above, the known condition should be on the detectability of a cell, rather than arbitrary time. For example, if a cell has been recently detected, (e.g., 5.01 seconds ago), the cell is considered as unknown according to the current definition. These expired but detectable candidate cells should be included in the LTM known condition.  </w:t>
      </w:r>
    </w:p>
    <w:p w14:paraId="3C203C22" w14:textId="77777777" w:rsidR="00765209" w:rsidRDefault="00765209" w:rsidP="00765209">
      <w:pPr>
        <w:pStyle w:val="RAN4proposal"/>
      </w:pPr>
      <w:bookmarkStart w:id="17" w:name="_Toc149904406"/>
      <w:r>
        <w:t>Cells detected more than 5s ago but are still detectable, are considered as known cells for LTM.</w:t>
      </w:r>
      <w:bookmarkEnd w:id="17"/>
    </w:p>
    <w:p w14:paraId="3BAFA76A" w14:textId="77777777" w:rsidR="00765209" w:rsidRDefault="00765209" w:rsidP="00765209">
      <w:r>
        <w:t xml:space="preserve">For the cells which are detectable/detected, UE should be able to perform LTM L1 measurements, therefore, the known cell condition for LTM should only consider the detectability of a cell. </w:t>
      </w:r>
    </w:p>
    <w:p w14:paraId="4FC255B8" w14:textId="77777777" w:rsidR="00765209" w:rsidRPr="005108CE" w:rsidRDefault="00765209" w:rsidP="005108CE"/>
    <w:p w14:paraId="22C863C0" w14:textId="2D5BBD28" w:rsidR="005108CE" w:rsidRDefault="005108CE" w:rsidP="005108CE">
      <w:pPr>
        <w:pStyle w:val="RAN4H2"/>
      </w:pPr>
      <w:r>
        <w:lastRenderedPageBreak/>
        <w:t>Known TCI state condition</w:t>
      </w:r>
    </w:p>
    <w:p w14:paraId="579F8B33" w14:textId="379AE0A1" w:rsidR="000D7746" w:rsidRPr="000D7746" w:rsidRDefault="000D7746" w:rsidP="000D7746">
      <w:r>
        <w:t xml:space="preserve">In the last meeting it was left open whether </w:t>
      </w:r>
      <w:r w:rsidR="00426F5E">
        <w:t xml:space="preserve">to define known TCI state condition for LTM cell switch only separately or commonly for DL and UL TCI states (separate or joint). </w:t>
      </w:r>
    </w:p>
    <w:tbl>
      <w:tblPr>
        <w:tblStyle w:val="TableGrid"/>
        <w:tblW w:w="0" w:type="auto"/>
        <w:tblLook w:val="04A0" w:firstRow="1" w:lastRow="0" w:firstColumn="1" w:lastColumn="0" w:noHBand="0" w:noVBand="1"/>
      </w:tblPr>
      <w:tblGrid>
        <w:gridCol w:w="9617"/>
      </w:tblGrid>
      <w:tr w:rsidR="005108CE" w14:paraId="28624F59" w14:textId="77777777" w:rsidTr="005108CE">
        <w:tc>
          <w:tcPr>
            <w:tcW w:w="9617" w:type="dxa"/>
          </w:tcPr>
          <w:p w14:paraId="5E8ADE60" w14:textId="77777777" w:rsidR="005108CE" w:rsidRPr="005108CE" w:rsidRDefault="005108CE" w:rsidP="005108CE">
            <w:pPr>
              <w:spacing w:after="120"/>
              <w:jc w:val="left"/>
              <w:rPr>
                <w:rFonts w:ascii="Calibri" w:eastAsia="Times New Roman" w:hAnsi="Calibri" w:cs="Calibri"/>
                <w:sz w:val="22"/>
              </w:rPr>
            </w:pPr>
            <w:r w:rsidRPr="005108CE">
              <w:rPr>
                <w:rFonts w:ascii="Calibri" w:eastAsia="Times New Roman" w:hAnsi="Calibri" w:cs="Calibri"/>
                <w:b/>
                <w:bCs/>
                <w:sz w:val="22"/>
                <w:u w:val="single"/>
              </w:rPr>
              <w:t>Issue 3-4-2: known TCI state conditions</w:t>
            </w:r>
          </w:p>
          <w:p w14:paraId="1081E8F0" w14:textId="77777777" w:rsidR="005108CE" w:rsidRPr="005108CE" w:rsidRDefault="005108CE" w:rsidP="005108CE">
            <w:pPr>
              <w:spacing w:after="120"/>
              <w:jc w:val="left"/>
              <w:rPr>
                <w:rFonts w:ascii="Calibri" w:eastAsia="Times New Roman" w:hAnsi="Calibri" w:cs="Calibri"/>
                <w:sz w:val="22"/>
              </w:rPr>
            </w:pPr>
            <w:r w:rsidRPr="005108CE">
              <w:rPr>
                <w:rFonts w:ascii="Calibri" w:eastAsia="Times New Roman" w:hAnsi="Calibri" w:cs="Calibri"/>
                <w:b/>
                <w:bCs/>
                <w:sz w:val="22"/>
              </w:rPr>
              <w:t>&lt; Way forward &gt;</w:t>
            </w:r>
          </w:p>
          <w:p w14:paraId="62D1ED6B" w14:textId="77777777" w:rsidR="005108CE" w:rsidRPr="005108CE" w:rsidRDefault="005108CE" w:rsidP="0005135C">
            <w:pPr>
              <w:numPr>
                <w:ilvl w:val="0"/>
                <w:numId w:val="22"/>
              </w:numPr>
              <w:spacing w:after="120"/>
              <w:jc w:val="left"/>
              <w:textAlignment w:val="center"/>
              <w:rPr>
                <w:rFonts w:ascii="Calibri" w:eastAsia="Times New Roman" w:hAnsi="Calibri" w:cs="Calibri"/>
                <w:sz w:val="22"/>
              </w:rPr>
            </w:pPr>
            <w:r w:rsidRPr="005108CE">
              <w:rPr>
                <w:rFonts w:ascii="Calibri" w:eastAsia="Times New Roman" w:hAnsi="Calibri" w:cs="Calibri"/>
                <w:sz w:val="22"/>
              </w:rPr>
              <w:t>Use the following known TCI state condition as a baseline:</w:t>
            </w:r>
          </w:p>
          <w:p w14:paraId="2A8DFE7C" w14:textId="77777777" w:rsidR="005108CE" w:rsidRPr="005108CE" w:rsidRDefault="005108CE" w:rsidP="0005135C">
            <w:pPr>
              <w:numPr>
                <w:ilvl w:val="1"/>
                <w:numId w:val="22"/>
              </w:numPr>
              <w:spacing w:after="120"/>
              <w:jc w:val="left"/>
              <w:textAlignment w:val="center"/>
              <w:rPr>
                <w:rFonts w:ascii="Calibri" w:eastAsia="Times New Roman" w:hAnsi="Calibri" w:cs="Calibri"/>
                <w:sz w:val="22"/>
              </w:rPr>
            </w:pPr>
            <w:bookmarkStart w:id="18" w:name="_Hlk148515399"/>
            <w:r w:rsidRPr="005108CE">
              <w:rPr>
                <w:rFonts w:ascii="Calibri" w:eastAsia="Times New Roman" w:hAnsi="Calibri" w:cs="Calibri"/>
                <w:sz w:val="22"/>
              </w:rPr>
              <w:t>The TCI state is known if the following conditions are met:</w:t>
            </w:r>
          </w:p>
          <w:p w14:paraId="2468A202" w14:textId="77777777" w:rsidR="005108CE" w:rsidRPr="005108CE" w:rsidRDefault="005108CE" w:rsidP="0005135C">
            <w:pPr>
              <w:numPr>
                <w:ilvl w:val="2"/>
                <w:numId w:val="22"/>
              </w:numPr>
              <w:spacing w:after="120"/>
              <w:jc w:val="left"/>
              <w:textAlignment w:val="center"/>
              <w:rPr>
                <w:rFonts w:ascii="Calibri" w:eastAsia="Times New Roman" w:hAnsi="Calibri" w:cs="Calibri"/>
                <w:sz w:val="22"/>
              </w:rPr>
            </w:pPr>
            <w:r w:rsidRPr="005108CE">
              <w:rPr>
                <w:rFonts w:ascii="Calibri" w:eastAsia="Times New Roman" w:hAnsi="Calibri" w:cs="Calibri"/>
                <w:sz w:val="22"/>
              </w:rPr>
              <w:t xml:space="preserve">During the period from the last transmission of the RS resource used for the L1-RSRP measurement reporting for the target TCI state to the completion of cell switch, where the RS resource for L1-RSRP measurement is the RS in target TCI state or </w:t>
            </w:r>
            <w:proofErr w:type="spellStart"/>
            <w:r w:rsidRPr="005108CE">
              <w:rPr>
                <w:rFonts w:ascii="Calibri" w:eastAsia="Times New Roman" w:hAnsi="Calibri" w:cs="Calibri"/>
                <w:sz w:val="22"/>
              </w:rPr>
              <w:t>QCLed</w:t>
            </w:r>
            <w:proofErr w:type="spellEnd"/>
            <w:r w:rsidRPr="005108CE">
              <w:rPr>
                <w:rFonts w:ascii="Calibri" w:eastAsia="Times New Roman" w:hAnsi="Calibri" w:cs="Calibri"/>
                <w:sz w:val="22"/>
              </w:rPr>
              <w:t xml:space="preserve"> to the target TCI state</w:t>
            </w:r>
          </w:p>
          <w:p w14:paraId="5D1BDABA" w14:textId="77777777" w:rsidR="005108CE" w:rsidRPr="005108CE" w:rsidRDefault="005108CE" w:rsidP="0005135C">
            <w:pPr>
              <w:numPr>
                <w:ilvl w:val="3"/>
                <w:numId w:val="22"/>
              </w:numPr>
              <w:spacing w:after="120"/>
              <w:jc w:val="left"/>
              <w:textAlignment w:val="center"/>
              <w:rPr>
                <w:rFonts w:ascii="Calibri" w:eastAsia="Times New Roman" w:hAnsi="Calibri" w:cs="Calibri"/>
                <w:sz w:val="22"/>
              </w:rPr>
            </w:pPr>
            <w:r w:rsidRPr="005108CE">
              <w:rPr>
                <w:rFonts w:ascii="Calibri" w:eastAsia="Times New Roman" w:hAnsi="Calibri" w:cs="Calibri"/>
                <w:sz w:val="22"/>
              </w:rPr>
              <w:t xml:space="preserve">Cell switch command is received within 1280 ms upon the last transmission of the RS resource for beam reporting or measurement </w:t>
            </w:r>
          </w:p>
          <w:p w14:paraId="10A2EDA9" w14:textId="77777777" w:rsidR="005108CE" w:rsidRPr="005108CE" w:rsidRDefault="005108CE" w:rsidP="0005135C">
            <w:pPr>
              <w:numPr>
                <w:ilvl w:val="3"/>
                <w:numId w:val="22"/>
              </w:numPr>
              <w:spacing w:after="120"/>
              <w:jc w:val="left"/>
              <w:textAlignment w:val="center"/>
              <w:rPr>
                <w:rFonts w:ascii="Calibri" w:eastAsia="Times New Roman" w:hAnsi="Calibri" w:cs="Calibri"/>
                <w:sz w:val="22"/>
              </w:rPr>
            </w:pPr>
            <w:r w:rsidRPr="005108CE">
              <w:rPr>
                <w:rFonts w:ascii="Calibri" w:eastAsia="Times New Roman" w:hAnsi="Calibri" w:cs="Calibri"/>
                <w:sz w:val="22"/>
              </w:rPr>
              <w:t>The UE has sent at least 1 L1-RSRP report for the target TCI state before the cell switch command</w:t>
            </w:r>
          </w:p>
          <w:p w14:paraId="558428F0" w14:textId="77777777" w:rsidR="005108CE" w:rsidRPr="005108CE" w:rsidRDefault="005108CE" w:rsidP="0005135C">
            <w:pPr>
              <w:numPr>
                <w:ilvl w:val="3"/>
                <w:numId w:val="22"/>
              </w:numPr>
              <w:spacing w:after="120"/>
              <w:jc w:val="left"/>
              <w:textAlignment w:val="center"/>
              <w:rPr>
                <w:rFonts w:ascii="Calibri" w:eastAsia="Times New Roman" w:hAnsi="Calibri" w:cs="Calibri"/>
                <w:sz w:val="22"/>
              </w:rPr>
            </w:pPr>
            <w:r w:rsidRPr="005108CE">
              <w:rPr>
                <w:rFonts w:ascii="Calibri" w:eastAsia="Times New Roman" w:hAnsi="Calibri" w:cs="Calibri"/>
                <w:sz w:val="22"/>
              </w:rPr>
              <w:t>The TCI state remains detectable during the cell switching period</w:t>
            </w:r>
          </w:p>
          <w:p w14:paraId="4A235009" w14:textId="77777777" w:rsidR="005108CE" w:rsidRPr="005108CE" w:rsidRDefault="005108CE" w:rsidP="0005135C">
            <w:pPr>
              <w:numPr>
                <w:ilvl w:val="3"/>
                <w:numId w:val="22"/>
              </w:numPr>
              <w:spacing w:after="120"/>
              <w:jc w:val="left"/>
              <w:textAlignment w:val="center"/>
              <w:rPr>
                <w:rFonts w:ascii="Calibri" w:eastAsia="Times New Roman" w:hAnsi="Calibri" w:cs="Calibri"/>
                <w:sz w:val="22"/>
              </w:rPr>
            </w:pPr>
            <w:r w:rsidRPr="005108CE">
              <w:rPr>
                <w:rFonts w:ascii="Calibri" w:eastAsia="Times New Roman" w:hAnsi="Calibri" w:cs="Calibri"/>
                <w:sz w:val="22"/>
              </w:rPr>
              <w:t>The SSB associated with the TCI state remain detectable during the cell witching period</w:t>
            </w:r>
          </w:p>
          <w:p w14:paraId="47C242BC" w14:textId="77777777" w:rsidR="005108CE" w:rsidRPr="005108CE" w:rsidRDefault="005108CE" w:rsidP="0005135C">
            <w:pPr>
              <w:numPr>
                <w:ilvl w:val="4"/>
                <w:numId w:val="22"/>
              </w:numPr>
              <w:spacing w:after="120"/>
              <w:jc w:val="left"/>
              <w:textAlignment w:val="center"/>
              <w:rPr>
                <w:rFonts w:ascii="Calibri" w:eastAsia="Times New Roman" w:hAnsi="Calibri" w:cs="Calibri"/>
                <w:sz w:val="22"/>
              </w:rPr>
            </w:pPr>
            <w:r w:rsidRPr="005108CE">
              <w:rPr>
                <w:rFonts w:ascii="Calibri" w:eastAsia="Times New Roman" w:hAnsi="Calibri" w:cs="Calibri"/>
                <w:sz w:val="22"/>
              </w:rPr>
              <w:t>SNR of the TCI state ≥ -3dB</w:t>
            </w:r>
          </w:p>
          <w:p w14:paraId="0286FB7F" w14:textId="77777777" w:rsidR="005108CE" w:rsidRPr="005108CE" w:rsidRDefault="005108CE" w:rsidP="0005135C">
            <w:pPr>
              <w:numPr>
                <w:ilvl w:val="1"/>
                <w:numId w:val="22"/>
              </w:numPr>
              <w:spacing w:after="120"/>
              <w:jc w:val="left"/>
              <w:textAlignment w:val="center"/>
              <w:rPr>
                <w:rFonts w:ascii="Calibri" w:eastAsia="Times New Roman" w:hAnsi="Calibri" w:cs="Calibri"/>
                <w:sz w:val="22"/>
              </w:rPr>
            </w:pPr>
            <w:r w:rsidRPr="005108CE">
              <w:rPr>
                <w:rFonts w:ascii="Calibri" w:eastAsia="Times New Roman" w:hAnsi="Calibri" w:cs="Calibri"/>
                <w:sz w:val="22"/>
              </w:rPr>
              <w:t>Otherwise, the TCI state is unknown.</w:t>
            </w:r>
          </w:p>
          <w:bookmarkEnd w:id="18"/>
          <w:p w14:paraId="0F6AD868" w14:textId="77777777" w:rsidR="005108CE" w:rsidRPr="005108CE" w:rsidRDefault="005108CE" w:rsidP="0005135C">
            <w:pPr>
              <w:numPr>
                <w:ilvl w:val="0"/>
                <w:numId w:val="22"/>
              </w:numPr>
              <w:spacing w:after="120"/>
              <w:jc w:val="left"/>
              <w:textAlignment w:val="center"/>
              <w:rPr>
                <w:rFonts w:ascii="Calibri" w:eastAsia="Times New Roman" w:hAnsi="Calibri" w:cs="Calibri"/>
                <w:sz w:val="22"/>
              </w:rPr>
            </w:pPr>
            <w:r w:rsidRPr="005108CE">
              <w:rPr>
                <w:rFonts w:ascii="Calibri" w:eastAsia="Times New Roman" w:hAnsi="Calibri" w:cs="Calibri"/>
                <w:sz w:val="22"/>
              </w:rPr>
              <w:t>FFS: whether to define known TCI state condition for DL and UL independently</w:t>
            </w:r>
          </w:p>
          <w:p w14:paraId="10FCDA24" w14:textId="77777777" w:rsidR="005108CE" w:rsidRPr="005108CE" w:rsidRDefault="005108CE" w:rsidP="0005135C">
            <w:pPr>
              <w:numPr>
                <w:ilvl w:val="0"/>
                <w:numId w:val="22"/>
              </w:numPr>
              <w:spacing w:after="120"/>
              <w:jc w:val="left"/>
              <w:textAlignment w:val="center"/>
              <w:rPr>
                <w:rFonts w:ascii="Calibri" w:eastAsia="Times New Roman" w:hAnsi="Calibri" w:cs="Calibri"/>
                <w:sz w:val="22"/>
              </w:rPr>
            </w:pPr>
            <w:r w:rsidRPr="005108CE">
              <w:rPr>
                <w:rFonts w:ascii="Calibri" w:eastAsia="Times New Roman" w:hAnsi="Calibri" w:cs="Calibri"/>
                <w:sz w:val="22"/>
              </w:rPr>
              <w:t>FFS: Known TCI state condition when UE supports L3 measurement reporting in L1 report.</w:t>
            </w:r>
          </w:p>
          <w:p w14:paraId="24DC096D" w14:textId="77777777" w:rsidR="005108CE" w:rsidRDefault="005108CE" w:rsidP="005108CE"/>
        </w:tc>
      </w:tr>
    </w:tbl>
    <w:p w14:paraId="4A692BE1" w14:textId="77777777" w:rsidR="005108CE" w:rsidRPr="005108CE" w:rsidRDefault="005108CE" w:rsidP="005108CE"/>
    <w:p w14:paraId="13669B4C" w14:textId="7F330E16" w:rsidR="005108CE" w:rsidRDefault="00426F5E" w:rsidP="005108CE">
      <w:r>
        <w:t>In legacy</w:t>
      </w:r>
      <w:r w:rsidR="00C709BB">
        <w:t xml:space="preserve"> unified TCI state switching requirements, known TCI state condition is defined separately for DL and UL TCI states. </w:t>
      </w:r>
      <w:r w:rsidR="00821F2C">
        <w:t xml:space="preserve">This is because either DL or UL TCI state or both of them can be switched, or if joint TCI states are used, switching the TCI state will lead to switching </w:t>
      </w:r>
      <w:r w:rsidR="00CA5A8B">
        <w:t>both UL and DL parts of the joint TCI state. The only difference in the known TCI state conditions for DL and UL in section 8.15.2 and 8.16.2 i</w:t>
      </w:r>
      <w:r w:rsidR="00CA7F82">
        <w:t>s the RS relation which is to either UL or DL TCI state depending on the requirement.</w:t>
      </w:r>
    </w:p>
    <w:p w14:paraId="165F73BE" w14:textId="69C03B7A" w:rsidR="00CA5A8B" w:rsidRDefault="00CA5A8B" w:rsidP="005108CE">
      <w:r>
        <w:t xml:space="preserve">For LTM, the cell switch command will include either a target joint DL/UL TCI state or </w:t>
      </w:r>
      <w:r w:rsidR="000B61E5">
        <w:t xml:space="preserve">a pair of </w:t>
      </w:r>
      <w:r w:rsidR="00F71D65">
        <w:t>separate DL and UL TCI states. RAN4 agreed that in the cell switch delay requirements, only known TCI state</w:t>
      </w:r>
      <w:r w:rsidR="00685DC5">
        <w:t xml:space="preserve"> case is considered i.e. if the TCI state in the cell switch command is unknown, delay requirements are not defined.</w:t>
      </w:r>
    </w:p>
    <w:p w14:paraId="36A46AF7" w14:textId="6ED4AFEF" w:rsidR="005A201C" w:rsidRDefault="005A201C" w:rsidP="005108CE">
      <w:r>
        <w:t xml:space="preserve">Considering that the </w:t>
      </w:r>
      <w:r w:rsidR="00DB507D">
        <w:t xml:space="preserve">LTM cell switch command always includes both DL and UL TCI state (or joint), </w:t>
      </w:r>
      <w:r w:rsidR="00890509">
        <w:t xml:space="preserve">based on the discussions in the last meeting, </w:t>
      </w:r>
      <w:r w:rsidR="00DB507D">
        <w:t xml:space="preserve">we think it is </w:t>
      </w:r>
      <w:r w:rsidR="00890509">
        <w:t>reasonable</w:t>
      </w:r>
      <w:r w:rsidR="00DB507D">
        <w:t xml:space="preserve"> </w:t>
      </w:r>
      <w:r w:rsidR="00801FD8">
        <w:t xml:space="preserve">proposal </w:t>
      </w:r>
      <w:r w:rsidR="00DB507D">
        <w:t>to define the known TCI state condition commonly</w:t>
      </w:r>
      <w:r w:rsidR="00890509">
        <w:t xml:space="preserve"> for DL and UL. However, both DL and UL TCI states </w:t>
      </w:r>
      <w:r w:rsidR="00C2431E">
        <w:t xml:space="preserve">and the RS relations </w:t>
      </w:r>
      <w:r w:rsidR="00890509">
        <w:t>need to be taken into account when writing the condition. We propose the following wording:</w:t>
      </w:r>
    </w:p>
    <w:p w14:paraId="42CAFE48" w14:textId="6F96E36C" w:rsidR="0006707B" w:rsidRDefault="0006707B" w:rsidP="00890509">
      <w:pPr>
        <w:pStyle w:val="RAN4proposal"/>
      </w:pPr>
      <w:bookmarkStart w:id="19" w:name="_Toc149904407"/>
      <w:r w:rsidRPr="0006707B">
        <w:t xml:space="preserve">The </w:t>
      </w:r>
      <w:r w:rsidRPr="00230270">
        <w:t>target joint DL/UL TCI state or separate DL and UL TCI states in the LTM cell switch command</w:t>
      </w:r>
      <w:r w:rsidR="00230270">
        <w:t xml:space="preserve"> are known </w:t>
      </w:r>
      <w:r w:rsidRPr="0006707B">
        <w:t>if the following conditions are met:</w:t>
      </w:r>
      <w:bookmarkEnd w:id="19"/>
    </w:p>
    <w:p w14:paraId="7BB20D12" w14:textId="69A4FBDD" w:rsidR="00890509" w:rsidRPr="0006707B" w:rsidRDefault="00890509" w:rsidP="0005135C">
      <w:pPr>
        <w:numPr>
          <w:ilvl w:val="0"/>
          <w:numId w:val="24"/>
        </w:numPr>
        <w:rPr>
          <w:b/>
          <w:bCs/>
        </w:rPr>
      </w:pPr>
      <w:r w:rsidRPr="0006707B">
        <w:rPr>
          <w:b/>
          <w:bCs/>
        </w:rPr>
        <w:t xml:space="preserve">During the period from the last transmission of the RS resource used for the L1-RSRP measurement reporting for the target </w:t>
      </w:r>
      <w:r w:rsidRPr="00751832">
        <w:rPr>
          <w:b/>
          <w:bCs/>
        </w:rPr>
        <w:t>DL</w:t>
      </w:r>
      <w:r w:rsidR="00751832">
        <w:rPr>
          <w:b/>
          <w:bCs/>
        </w:rPr>
        <w:t>/UL</w:t>
      </w:r>
      <w:r w:rsidRPr="00751832">
        <w:rPr>
          <w:b/>
          <w:bCs/>
        </w:rPr>
        <w:t xml:space="preserve"> </w:t>
      </w:r>
      <w:r w:rsidRPr="0006707B">
        <w:rPr>
          <w:b/>
          <w:bCs/>
        </w:rPr>
        <w:t>TCI state</w:t>
      </w:r>
      <w:r w:rsidRPr="00751832">
        <w:rPr>
          <w:b/>
          <w:bCs/>
        </w:rPr>
        <w:t xml:space="preserve"> </w:t>
      </w:r>
      <w:r w:rsidRPr="0006707B">
        <w:rPr>
          <w:b/>
          <w:bCs/>
        </w:rPr>
        <w:t xml:space="preserve">to the completion of </w:t>
      </w:r>
      <w:r w:rsidRPr="00751832">
        <w:rPr>
          <w:b/>
          <w:bCs/>
        </w:rPr>
        <w:t xml:space="preserve">LTM </w:t>
      </w:r>
      <w:r w:rsidRPr="0006707B">
        <w:rPr>
          <w:b/>
          <w:bCs/>
        </w:rPr>
        <w:t xml:space="preserve">cell switch, where the RS resource for L1-RSRP measurement is the RS in target </w:t>
      </w:r>
      <w:r w:rsidRPr="00751832">
        <w:rPr>
          <w:b/>
          <w:bCs/>
        </w:rPr>
        <w:t xml:space="preserve">DL/UL </w:t>
      </w:r>
      <w:r w:rsidRPr="0006707B">
        <w:rPr>
          <w:b/>
          <w:bCs/>
        </w:rPr>
        <w:t xml:space="preserve">TCI state or </w:t>
      </w:r>
      <w:proofErr w:type="spellStart"/>
      <w:r w:rsidRPr="0006707B">
        <w:rPr>
          <w:b/>
          <w:bCs/>
        </w:rPr>
        <w:t>QCLed</w:t>
      </w:r>
      <w:proofErr w:type="spellEnd"/>
      <w:r w:rsidRPr="0006707B">
        <w:rPr>
          <w:b/>
          <w:bCs/>
        </w:rPr>
        <w:t xml:space="preserve"> to the target </w:t>
      </w:r>
      <w:r w:rsidRPr="00751832">
        <w:rPr>
          <w:b/>
          <w:bCs/>
        </w:rPr>
        <w:t xml:space="preserve">DL/UL </w:t>
      </w:r>
      <w:r w:rsidRPr="0006707B">
        <w:rPr>
          <w:b/>
          <w:bCs/>
        </w:rPr>
        <w:t>TCI state</w:t>
      </w:r>
    </w:p>
    <w:p w14:paraId="78AC52DD" w14:textId="77777777" w:rsidR="00890509" w:rsidRPr="0006707B" w:rsidRDefault="00890509" w:rsidP="0005135C">
      <w:pPr>
        <w:numPr>
          <w:ilvl w:val="1"/>
          <w:numId w:val="24"/>
        </w:numPr>
        <w:rPr>
          <w:b/>
          <w:bCs/>
        </w:rPr>
      </w:pPr>
      <w:r w:rsidRPr="00751832">
        <w:rPr>
          <w:b/>
          <w:bCs/>
        </w:rPr>
        <w:t>LTM c</w:t>
      </w:r>
      <w:r w:rsidRPr="0006707B">
        <w:rPr>
          <w:b/>
          <w:bCs/>
        </w:rPr>
        <w:t xml:space="preserve">ell switch command is received within 1280 ms upon the last transmission of the RS resource for beam reporting or measurement </w:t>
      </w:r>
    </w:p>
    <w:p w14:paraId="05F3D4B6" w14:textId="77777777" w:rsidR="00890509" w:rsidRPr="0006707B" w:rsidRDefault="00890509" w:rsidP="0005135C">
      <w:pPr>
        <w:numPr>
          <w:ilvl w:val="1"/>
          <w:numId w:val="24"/>
        </w:numPr>
        <w:rPr>
          <w:b/>
          <w:bCs/>
        </w:rPr>
      </w:pPr>
      <w:r w:rsidRPr="0006707B">
        <w:rPr>
          <w:b/>
          <w:bCs/>
        </w:rPr>
        <w:lastRenderedPageBreak/>
        <w:t xml:space="preserve">The UE has sent at least 1 L1-RSRP report for the target </w:t>
      </w:r>
      <w:r w:rsidRPr="00751832">
        <w:rPr>
          <w:b/>
          <w:bCs/>
        </w:rPr>
        <w:t xml:space="preserve">DL/UL </w:t>
      </w:r>
      <w:r w:rsidRPr="0006707B">
        <w:rPr>
          <w:b/>
          <w:bCs/>
        </w:rPr>
        <w:t xml:space="preserve">TCI state before the </w:t>
      </w:r>
      <w:r w:rsidRPr="00751832">
        <w:rPr>
          <w:b/>
          <w:bCs/>
        </w:rPr>
        <w:t xml:space="preserve">LTM </w:t>
      </w:r>
      <w:r w:rsidRPr="0006707B">
        <w:rPr>
          <w:b/>
          <w:bCs/>
        </w:rPr>
        <w:t>cell switch command</w:t>
      </w:r>
    </w:p>
    <w:p w14:paraId="7633F74C" w14:textId="069BE866" w:rsidR="00890509" w:rsidRPr="0006707B" w:rsidRDefault="00890509" w:rsidP="0005135C">
      <w:pPr>
        <w:numPr>
          <w:ilvl w:val="1"/>
          <w:numId w:val="24"/>
        </w:numPr>
        <w:rPr>
          <w:b/>
          <w:bCs/>
        </w:rPr>
      </w:pPr>
      <w:r w:rsidRPr="0006707B">
        <w:rPr>
          <w:b/>
          <w:bCs/>
        </w:rPr>
        <w:t xml:space="preserve">The </w:t>
      </w:r>
      <w:r w:rsidR="00F82136">
        <w:rPr>
          <w:b/>
          <w:bCs/>
        </w:rPr>
        <w:t xml:space="preserve">target </w:t>
      </w:r>
      <w:r w:rsidRPr="00751832">
        <w:rPr>
          <w:b/>
          <w:bCs/>
        </w:rPr>
        <w:t xml:space="preserve">DL/UL </w:t>
      </w:r>
      <w:r w:rsidRPr="0006707B">
        <w:rPr>
          <w:b/>
          <w:bCs/>
        </w:rPr>
        <w:t xml:space="preserve">TCI state remains detectable during the </w:t>
      </w:r>
      <w:r w:rsidRPr="00751832">
        <w:rPr>
          <w:b/>
          <w:bCs/>
        </w:rPr>
        <w:t xml:space="preserve">LTM </w:t>
      </w:r>
      <w:r w:rsidRPr="0006707B">
        <w:rPr>
          <w:b/>
          <w:bCs/>
        </w:rPr>
        <w:t>cell switching period</w:t>
      </w:r>
    </w:p>
    <w:p w14:paraId="42A30CC1" w14:textId="6287406C" w:rsidR="00890509" w:rsidRPr="0006707B" w:rsidRDefault="00890509" w:rsidP="0005135C">
      <w:pPr>
        <w:numPr>
          <w:ilvl w:val="1"/>
          <w:numId w:val="24"/>
        </w:numPr>
        <w:rPr>
          <w:b/>
          <w:bCs/>
        </w:rPr>
      </w:pPr>
      <w:r w:rsidRPr="0006707B">
        <w:rPr>
          <w:b/>
          <w:bCs/>
        </w:rPr>
        <w:t xml:space="preserve">The SSB associated with the </w:t>
      </w:r>
      <w:r w:rsidR="00F82136">
        <w:rPr>
          <w:b/>
          <w:bCs/>
        </w:rPr>
        <w:t xml:space="preserve">target </w:t>
      </w:r>
      <w:r w:rsidRPr="00751832">
        <w:rPr>
          <w:b/>
          <w:bCs/>
        </w:rPr>
        <w:t xml:space="preserve">DL/UL </w:t>
      </w:r>
      <w:r w:rsidRPr="0006707B">
        <w:rPr>
          <w:b/>
          <w:bCs/>
        </w:rPr>
        <w:t xml:space="preserve">TCI state remain detectable during the cell </w:t>
      </w:r>
      <w:r w:rsidR="00EB0BBC">
        <w:rPr>
          <w:b/>
          <w:bCs/>
        </w:rPr>
        <w:t>s</w:t>
      </w:r>
      <w:r w:rsidRPr="0006707B">
        <w:rPr>
          <w:b/>
          <w:bCs/>
        </w:rPr>
        <w:t>witching period</w:t>
      </w:r>
    </w:p>
    <w:p w14:paraId="042D228E" w14:textId="77777777" w:rsidR="00890509" w:rsidRPr="0006707B" w:rsidRDefault="00890509" w:rsidP="0005135C">
      <w:pPr>
        <w:numPr>
          <w:ilvl w:val="2"/>
          <w:numId w:val="24"/>
        </w:numPr>
        <w:rPr>
          <w:b/>
          <w:bCs/>
        </w:rPr>
      </w:pPr>
      <w:r w:rsidRPr="0006707B">
        <w:rPr>
          <w:b/>
          <w:bCs/>
        </w:rPr>
        <w:t>SNR of the TCI state ≥ -3dB</w:t>
      </w:r>
    </w:p>
    <w:p w14:paraId="52935E47" w14:textId="77777777" w:rsidR="00890509" w:rsidRPr="0006707B" w:rsidRDefault="00890509" w:rsidP="0005135C">
      <w:pPr>
        <w:numPr>
          <w:ilvl w:val="0"/>
          <w:numId w:val="24"/>
        </w:numPr>
        <w:rPr>
          <w:b/>
          <w:bCs/>
        </w:rPr>
      </w:pPr>
      <w:r w:rsidRPr="0006707B">
        <w:rPr>
          <w:b/>
          <w:bCs/>
        </w:rPr>
        <w:t xml:space="preserve">Otherwise, the </w:t>
      </w:r>
      <w:r w:rsidRPr="00751832">
        <w:rPr>
          <w:b/>
          <w:bCs/>
        </w:rPr>
        <w:t>target joint DL/UL TCI state or separate DL and UL TCI state</w:t>
      </w:r>
      <w:r w:rsidRPr="0006707B">
        <w:rPr>
          <w:b/>
          <w:bCs/>
        </w:rPr>
        <w:t xml:space="preserve"> is unknown.</w:t>
      </w:r>
    </w:p>
    <w:p w14:paraId="204F9CD4" w14:textId="77777777" w:rsidR="005C4FD7" w:rsidRPr="005C4FD7" w:rsidRDefault="005C4FD7" w:rsidP="005C4FD7">
      <w:pPr>
        <w:rPr>
          <w:lang w:eastAsia="zh-CN"/>
        </w:rPr>
      </w:pPr>
    </w:p>
    <w:p w14:paraId="4F11FA96" w14:textId="77777777" w:rsidR="00CD7492" w:rsidRPr="008C39F7" w:rsidRDefault="00CD7492" w:rsidP="00CC3077">
      <w:pPr>
        <w:pStyle w:val="RAN4H1"/>
      </w:pPr>
      <w:bookmarkStart w:id="20" w:name="_Toc116995848"/>
      <w:r w:rsidRPr="008C39F7">
        <w:t>Conclusion</w:t>
      </w:r>
      <w:bookmarkEnd w:id="20"/>
    </w:p>
    <w:p w14:paraId="6A8D298D" w14:textId="70CA3154" w:rsidR="000F3F4A" w:rsidRDefault="00A4355E">
      <w:pPr>
        <w:pStyle w:val="TOC5"/>
        <w:rPr>
          <w:rFonts w:asciiTheme="minorHAnsi" w:eastAsiaTheme="minorEastAsia" w:hAnsiTheme="minorHAnsi"/>
          <w:b w:val="0"/>
          <w:noProof/>
          <w:kern w:val="2"/>
          <w:sz w:val="22"/>
          <w14:ligatures w14:val="standardContextual"/>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49904392" w:history="1">
        <w:r w:rsidR="000F3F4A" w:rsidRPr="00A46FFF">
          <w:rPr>
            <w:rStyle w:val="Hyperlink"/>
            <w:noProof/>
          </w:rPr>
          <w:t>Proposal 1: Reuse LTM PCell switch delay for PSCell.</w:t>
        </w:r>
      </w:hyperlink>
    </w:p>
    <w:p w14:paraId="448002D4" w14:textId="23DED902" w:rsidR="000F3F4A" w:rsidRDefault="000F3F4A">
      <w:pPr>
        <w:pStyle w:val="TOC5"/>
        <w:rPr>
          <w:rFonts w:asciiTheme="minorHAnsi" w:eastAsiaTheme="minorEastAsia" w:hAnsiTheme="minorHAnsi"/>
          <w:b w:val="0"/>
          <w:noProof/>
          <w:kern w:val="2"/>
          <w:sz w:val="22"/>
          <w14:ligatures w14:val="standardContextual"/>
        </w:rPr>
      </w:pPr>
      <w:hyperlink w:anchor="_Toc149904393" w:history="1">
        <w:r w:rsidRPr="00A46FFF">
          <w:rPr>
            <w:rStyle w:val="Hyperlink"/>
            <w:noProof/>
          </w:rPr>
          <w:t>Proposal 2: Define LTM PSCell switch delay requirements in section 8.</w:t>
        </w:r>
      </w:hyperlink>
    </w:p>
    <w:p w14:paraId="7DF95B79" w14:textId="741A9C23" w:rsidR="000F3F4A" w:rsidRDefault="000F3F4A">
      <w:pPr>
        <w:pStyle w:val="TOC5"/>
        <w:rPr>
          <w:rFonts w:asciiTheme="minorHAnsi" w:eastAsiaTheme="minorEastAsia" w:hAnsiTheme="minorHAnsi"/>
          <w:b w:val="0"/>
          <w:noProof/>
          <w:kern w:val="2"/>
          <w:sz w:val="22"/>
          <w14:ligatures w14:val="standardContextual"/>
        </w:rPr>
      </w:pPr>
      <w:hyperlink w:anchor="_Toc149904394" w:history="1">
        <w:r w:rsidRPr="00A46FFF">
          <w:rPr>
            <w:rStyle w:val="Hyperlink"/>
            <w:noProof/>
          </w:rPr>
          <w:t>Proposal 3: For role switch scenario, shorter LTM processing delay than 20 ms or 40 ms should be defined.</w:t>
        </w:r>
      </w:hyperlink>
    </w:p>
    <w:p w14:paraId="623736B4" w14:textId="56F877D8" w:rsidR="000F3F4A" w:rsidRDefault="000F3F4A">
      <w:pPr>
        <w:pStyle w:val="TOC4"/>
        <w:tabs>
          <w:tab w:val="right" w:leader="dot" w:pos="9617"/>
        </w:tabs>
        <w:rPr>
          <w:rFonts w:asciiTheme="minorHAnsi" w:eastAsiaTheme="minorEastAsia" w:hAnsiTheme="minorHAnsi"/>
          <w:noProof/>
          <w:kern w:val="2"/>
          <w:sz w:val="22"/>
          <w14:ligatures w14:val="standardContextual"/>
        </w:rPr>
      </w:pPr>
      <w:hyperlink w:anchor="_Toc149904395" w:history="1">
        <w:r w:rsidRPr="00A46FFF">
          <w:rPr>
            <w:rStyle w:val="Hyperlink"/>
            <w:b/>
            <w:noProof/>
          </w:rPr>
          <w:t>Observation 1:</w:t>
        </w:r>
        <w:r w:rsidRPr="00A46FFF">
          <w:rPr>
            <w:rStyle w:val="Hyperlink"/>
            <w:noProof/>
          </w:rPr>
          <w:t xml:space="preserve"> The agreement related to serving cell active TCI state list in issue 1-1-7 is still to be captured in the LTM cell switch delay requirement.</w:t>
        </w:r>
      </w:hyperlink>
    </w:p>
    <w:p w14:paraId="7B3A7A11" w14:textId="365B661E" w:rsidR="000F3F4A" w:rsidRDefault="000F3F4A">
      <w:pPr>
        <w:pStyle w:val="TOC4"/>
        <w:tabs>
          <w:tab w:val="right" w:leader="dot" w:pos="9617"/>
        </w:tabs>
        <w:rPr>
          <w:rFonts w:asciiTheme="minorHAnsi" w:eastAsiaTheme="minorEastAsia" w:hAnsiTheme="minorHAnsi"/>
          <w:noProof/>
          <w:kern w:val="2"/>
          <w:sz w:val="22"/>
          <w14:ligatures w14:val="standardContextual"/>
        </w:rPr>
      </w:pPr>
      <w:hyperlink w:anchor="_Toc149904396" w:history="1">
        <w:r w:rsidRPr="00A46FFF">
          <w:rPr>
            <w:rStyle w:val="Hyperlink"/>
            <w:b/>
            <w:noProof/>
          </w:rPr>
          <w:t>Observation 2:</w:t>
        </w:r>
        <w:r w:rsidRPr="00A46FFF">
          <w:rPr>
            <w:rStyle w:val="Hyperlink"/>
            <w:noProof/>
          </w:rPr>
          <w:t xml:space="preserve"> RAN1 is still discussing using TRS as QCL source for LTM candidate cell TCI state. This part should be FFS in RAN4 until RAN1 concludes whether TRS can be used.</w:t>
        </w:r>
      </w:hyperlink>
    </w:p>
    <w:p w14:paraId="0D69E6D9" w14:textId="43FC24D3" w:rsidR="000F3F4A" w:rsidRDefault="000F3F4A">
      <w:pPr>
        <w:pStyle w:val="TOC5"/>
        <w:rPr>
          <w:rFonts w:asciiTheme="minorHAnsi" w:eastAsiaTheme="minorEastAsia" w:hAnsiTheme="minorHAnsi"/>
          <w:b w:val="0"/>
          <w:noProof/>
          <w:kern w:val="2"/>
          <w:sz w:val="22"/>
          <w14:ligatures w14:val="standardContextual"/>
        </w:rPr>
      </w:pPr>
      <w:hyperlink w:anchor="_Toc149904397" w:history="1">
        <w:r w:rsidRPr="00A46FFF">
          <w:rPr>
            <w:rStyle w:val="Hyperlink"/>
            <w:noProof/>
            <w:lang w:val="en-GB"/>
          </w:rPr>
          <w:t xml:space="preserve">Proposal 4: RAN4 to discuss whether a UE supporting the capability for </w:t>
        </w:r>
        <w:r w:rsidRPr="00A46FFF">
          <w:rPr>
            <w:rStyle w:val="Hyperlink"/>
            <w:noProof/>
          </w:rPr>
          <w:t>early ASN.1 decoding and validity/compliance check shall perform early ASN.1 decoding and validity/compliance check for all candidate cells or just for the (most probable) target cell.</w:t>
        </w:r>
      </w:hyperlink>
    </w:p>
    <w:p w14:paraId="32C9D24C" w14:textId="79A8F82A" w:rsidR="000F3F4A" w:rsidRDefault="000F3F4A">
      <w:pPr>
        <w:pStyle w:val="TOC5"/>
        <w:rPr>
          <w:rFonts w:asciiTheme="minorHAnsi" w:eastAsiaTheme="minorEastAsia" w:hAnsiTheme="minorHAnsi"/>
          <w:b w:val="0"/>
          <w:noProof/>
          <w:kern w:val="2"/>
          <w:sz w:val="22"/>
          <w14:ligatures w14:val="standardContextual"/>
        </w:rPr>
      </w:pPr>
      <w:hyperlink w:anchor="_Toc149904398" w:history="1">
        <w:r w:rsidRPr="00A46FFF">
          <w:rPr>
            <w:rStyle w:val="Hyperlink"/>
            <w:noProof/>
            <w:lang w:val="en-GB"/>
          </w:rPr>
          <w:t xml:space="preserve">Proposal 5: The UE supporting capability for </w:t>
        </w:r>
        <w:r w:rsidRPr="00A46FFF">
          <w:rPr>
            <w:rStyle w:val="Hyperlink"/>
            <w:noProof/>
          </w:rPr>
          <w:t>early ASN.1 decoding and validity/compliance check</w:t>
        </w:r>
        <w:r w:rsidRPr="00A46FFF">
          <w:rPr>
            <w:rStyle w:val="Hyperlink"/>
            <w:noProof/>
            <w:lang w:val="en-GB"/>
          </w:rPr>
          <w:t xml:space="preserve"> can perform </w:t>
        </w:r>
        <w:r w:rsidRPr="00A46FFF">
          <w:rPr>
            <w:rStyle w:val="Hyperlink"/>
            <w:noProof/>
          </w:rPr>
          <w:t>these steps before the cell switch command</w:t>
        </w:r>
        <w:r w:rsidRPr="00A46FFF">
          <w:rPr>
            <w:rStyle w:val="Hyperlink"/>
            <w:noProof/>
            <w:lang w:val="en-GB"/>
          </w:rPr>
          <w:t xml:space="preserve"> only for the candidate cell for which TCI state is activated or early RACH is initiated by PDCCH order.</w:t>
        </w:r>
      </w:hyperlink>
    </w:p>
    <w:p w14:paraId="039581AF" w14:textId="1905CEA3" w:rsidR="000F3F4A" w:rsidRDefault="000F3F4A">
      <w:pPr>
        <w:pStyle w:val="TOC5"/>
        <w:rPr>
          <w:rFonts w:asciiTheme="minorHAnsi" w:eastAsiaTheme="minorEastAsia" w:hAnsiTheme="minorHAnsi"/>
          <w:b w:val="0"/>
          <w:noProof/>
          <w:kern w:val="2"/>
          <w:sz w:val="22"/>
          <w14:ligatures w14:val="standardContextual"/>
        </w:rPr>
      </w:pPr>
      <w:hyperlink w:anchor="_Toc149904399" w:history="1">
        <w:r w:rsidRPr="00A46FFF">
          <w:rPr>
            <w:rStyle w:val="Hyperlink"/>
            <w:noProof/>
          </w:rPr>
          <w:t>Proposal 6: When TCI state has been activated before the cell switch, PL-RS estimation is not part of the cell switch delay.</w:t>
        </w:r>
      </w:hyperlink>
    </w:p>
    <w:p w14:paraId="199CC269" w14:textId="1CB502B5" w:rsidR="000F3F4A" w:rsidRDefault="000F3F4A">
      <w:pPr>
        <w:pStyle w:val="TOC5"/>
        <w:rPr>
          <w:rFonts w:asciiTheme="minorHAnsi" w:eastAsiaTheme="minorEastAsia" w:hAnsiTheme="minorHAnsi"/>
          <w:b w:val="0"/>
          <w:noProof/>
          <w:kern w:val="2"/>
          <w:sz w:val="22"/>
          <w14:ligatures w14:val="standardContextual"/>
        </w:rPr>
      </w:pPr>
      <w:hyperlink w:anchor="_Toc149904400" w:history="1">
        <w:r w:rsidRPr="00A46FFF">
          <w:rPr>
            <w:rStyle w:val="Hyperlink"/>
            <w:noProof/>
          </w:rPr>
          <w:t>Proposal 7: When TCI state activation is done at the cell switch, UE uses the same SSB for PL-RS and fine T/F tracking (T</w:t>
        </w:r>
        <w:r w:rsidRPr="00A46FFF">
          <w:rPr>
            <w:rStyle w:val="Hyperlink"/>
            <w:noProof/>
            <w:vertAlign w:val="subscript"/>
          </w:rPr>
          <w:t>first-RS</w:t>
        </w:r>
        <w:r w:rsidRPr="00A46FFF">
          <w:rPr>
            <w:rStyle w:val="Hyperlink"/>
            <w:noProof/>
          </w:rPr>
          <w:t>). No additional delay due to PL-RS is needed in the cell switch delay.</w:t>
        </w:r>
      </w:hyperlink>
    </w:p>
    <w:p w14:paraId="2DDAF396" w14:textId="0C5E0346" w:rsidR="000F3F4A" w:rsidRDefault="000F3F4A">
      <w:pPr>
        <w:pStyle w:val="TOC5"/>
        <w:rPr>
          <w:rFonts w:asciiTheme="minorHAnsi" w:eastAsiaTheme="minorEastAsia" w:hAnsiTheme="minorHAnsi"/>
          <w:b w:val="0"/>
          <w:noProof/>
          <w:kern w:val="2"/>
          <w:sz w:val="22"/>
          <w14:ligatures w14:val="standardContextual"/>
        </w:rPr>
      </w:pPr>
      <w:hyperlink w:anchor="_Toc149904401" w:history="1">
        <w:r w:rsidRPr="00A46FFF">
          <w:rPr>
            <w:rStyle w:val="Hyperlink"/>
            <w:noProof/>
          </w:rPr>
          <w:t>Proposal 8: T</w:t>
        </w:r>
        <w:r w:rsidRPr="00A46FFF">
          <w:rPr>
            <w:rStyle w:val="Hyperlink"/>
            <w:noProof/>
            <w:vertAlign w:val="subscript"/>
          </w:rPr>
          <w:t>LTM-RRC-processing</w:t>
        </w:r>
        <w:r w:rsidRPr="00A46FFF">
          <w:rPr>
            <w:rStyle w:val="Hyperlink"/>
            <w:noProof/>
          </w:rPr>
          <w:t>/T</w:t>
        </w:r>
        <w:r w:rsidRPr="00A46FFF">
          <w:rPr>
            <w:rStyle w:val="Hyperlink"/>
            <w:noProof/>
            <w:vertAlign w:val="subscript"/>
          </w:rPr>
          <w:t>execution</w:t>
        </w:r>
        <w:r w:rsidRPr="00A46FFF">
          <w:rPr>
            <w:rStyle w:val="Hyperlink"/>
            <w:noProof/>
          </w:rPr>
          <w:t xml:space="preserve"> is not part of the interruption.</w:t>
        </w:r>
      </w:hyperlink>
    </w:p>
    <w:p w14:paraId="43BF993C" w14:textId="3E8143EE" w:rsidR="000F3F4A" w:rsidRDefault="000F3F4A">
      <w:pPr>
        <w:pStyle w:val="TOC5"/>
        <w:rPr>
          <w:rFonts w:asciiTheme="minorHAnsi" w:eastAsiaTheme="minorEastAsia" w:hAnsiTheme="minorHAnsi"/>
          <w:b w:val="0"/>
          <w:noProof/>
          <w:kern w:val="2"/>
          <w:sz w:val="22"/>
          <w14:ligatures w14:val="standardContextual"/>
        </w:rPr>
      </w:pPr>
      <w:hyperlink w:anchor="_Toc149904402" w:history="1">
        <w:r w:rsidRPr="00A46FFF">
          <w:rPr>
            <w:rStyle w:val="Hyperlink"/>
            <w:noProof/>
          </w:rPr>
          <w:t>Proposal 9: T</w:t>
        </w:r>
        <w:r w:rsidRPr="00A46FFF">
          <w:rPr>
            <w:rStyle w:val="Hyperlink"/>
            <w:noProof/>
            <w:vertAlign w:val="subscript"/>
          </w:rPr>
          <w:t>first-RS</w:t>
        </w:r>
        <w:r w:rsidRPr="00A46FFF">
          <w:rPr>
            <w:rStyle w:val="Hyperlink"/>
            <w:noProof/>
          </w:rPr>
          <w:t xml:space="preserve"> (T</w:t>
        </w:r>
        <w:r w:rsidRPr="00A46FFF">
          <w:rPr>
            <w:rStyle w:val="Hyperlink"/>
            <w:noProof/>
            <w:vertAlign w:val="subscript"/>
          </w:rPr>
          <w:t>Δ</w:t>
        </w:r>
        <w:r w:rsidRPr="00A46FFF">
          <w:rPr>
            <w:rStyle w:val="Hyperlink"/>
            <w:noProof/>
          </w:rPr>
          <w:t>) and T</w:t>
        </w:r>
        <w:r w:rsidRPr="00A46FFF">
          <w:rPr>
            <w:rStyle w:val="Hyperlink"/>
            <w:noProof/>
            <w:vertAlign w:val="subscript"/>
          </w:rPr>
          <w:t>RS-proc</w:t>
        </w:r>
        <w:r w:rsidRPr="00A46FFF">
          <w:rPr>
            <w:rStyle w:val="Hyperlink"/>
            <w:noProof/>
          </w:rPr>
          <w:t xml:space="preserve"> (T</w:t>
        </w:r>
        <w:r w:rsidRPr="00A46FFF">
          <w:rPr>
            <w:rStyle w:val="Hyperlink"/>
            <w:noProof/>
            <w:vertAlign w:val="subscript"/>
          </w:rPr>
          <w:t>margin</w:t>
        </w:r>
        <w:r w:rsidRPr="00A46FFF">
          <w:rPr>
            <w:rStyle w:val="Hyperlink"/>
            <w:noProof/>
          </w:rPr>
          <w:t>) are not part of the interruption.</w:t>
        </w:r>
      </w:hyperlink>
    </w:p>
    <w:p w14:paraId="2866612C" w14:textId="2B28AE78" w:rsidR="000F3F4A" w:rsidRDefault="000F3F4A">
      <w:pPr>
        <w:pStyle w:val="TOC5"/>
        <w:rPr>
          <w:rFonts w:asciiTheme="minorHAnsi" w:eastAsiaTheme="minorEastAsia" w:hAnsiTheme="minorHAnsi"/>
          <w:b w:val="0"/>
          <w:noProof/>
          <w:kern w:val="2"/>
          <w:sz w:val="22"/>
          <w14:ligatures w14:val="standardContextual"/>
        </w:rPr>
      </w:pPr>
      <w:hyperlink w:anchor="_Toc149904403" w:history="1">
        <w:r w:rsidRPr="00A46FFF">
          <w:rPr>
            <w:rStyle w:val="Hyperlink"/>
            <w:noProof/>
          </w:rPr>
          <w:t>Proposal 10: T</w:t>
        </w:r>
        <w:r w:rsidRPr="00A46FFF">
          <w:rPr>
            <w:rStyle w:val="Hyperlink"/>
            <w:noProof/>
            <w:vertAlign w:val="subscript"/>
          </w:rPr>
          <w:t>interrupt</w:t>
        </w:r>
        <w:r w:rsidRPr="00A46FFF">
          <w:rPr>
            <w:rStyle w:val="Hyperlink"/>
            <w:noProof/>
          </w:rPr>
          <w:t xml:space="preserve"> = T</w:t>
        </w:r>
        <w:r w:rsidRPr="00A46FFF">
          <w:rPr>
            <w:rStyle w:val="Hyperlink"/>
            <w:noProof/>
            <w:vertAlign w:val="subscript"/>
          </w:rPr>
          <w:t>LTM-processing</w:t>
        </w:r>
        <w:r w:rsidRPr="00A46FFF">
          <w:rPr>
            <w:rStyle w:val="Hyperlink"/>
            <w:noProof/>
          </w:rPr>
          <w:t xml:space="preserve"> + T</w:t>
        </w:r>
        <w:r w:rsidRPr="00A46FFF">
          <w:rPr>
            <w:rStyle w:val="Hyperlink"/>
            <w:noProof/>
            <w:vertAlign w:val="subscript"/>
          </w:rPr>
          <w:t>LTM-IU</w:t>
        </w:r>
        <w:r w:rsidRPr="00A46FFF">
          <w:rPr>
            <w:rStyle w:val="Hyperlink"/>
            <w:noProof/>
          </w:rPr>
          <w:t>.</w:t>
        </w:r>
      </w:hyperlink>
    </w:p>
    <w:p w14:paraId="7AAAAEAC" w14:textId="44DCF193" w:rsidR="000F3F4A" w:rsidRDefault="000F3F4A">
      <w:pPr>
        <w:pStyle w:val="TOC5"/>
        <w:rPr>
          <w:rFonts w:asciiTheme="minorHAnsi" w:eastAsiaTheme="minorEastAsia" w:hAnsiTheme="minorHAnsi"/>
          <w:b w:val="0"/>
          <w:noProof/>
          <w:kern w:val="2"/>
          <w:sz w:val="22"/>
          <w14:ligatures w14:val="standardContextual"/>
        </w:rPr>
      </w:pPr>
      <w:hyperlink w:anchor="_Toc149904404" w:history="1">
        <w:r w:rsidRPr="00A46FFF">
          <w:rPr>
            <w:rStyle w:val="Hyperlink"/>
            <w:noProof/>
          </w:rPr>
          <w:t>Proposal 11: For Rel-18 LTM, remove “during the last 5 seconds” from the known cell conditions.</w:t>
        </w:r>
      </w:hyperlink>
    </w:p>
    <w:p w14:paraId="00FBE696" w14:textId="233D6A4F" w:rsidR="000F3F4A" w:rsidRDefault="000F3F4A">
      <w:pPr>
        <w:pStyle w:val="TOC4"/>
        <w:tabs>
          <w:tab w:val="right" w:leader="dot" w:pos="9617"/>
        </w:tabs>
        <w:rPr>
          <w:rFonts w:asciiTheme="minorHAnsi" w:eastAsiaTheme="minorEastAsia" w:hAnsiTheme="minorHAnsi"/>
          <w:noProof/>
          <w:kern w:val="2"/>
          <w:sz w:val="22"/>
          <w14:ligatures w14:val="standardContextual"/>
        </w:rPr>
      </w:pPr>
      <w:hyperlink w:anchor="_Toc149904405" w:history="1">
        <w:r w:rsidRPr="00A46FFF">
          <w:rPr>
            <w:rStyle w:val="Hyperlink"/>
            <w:b/>
            <w:noProof/>
          </w:rPr>
          <w:t>Observation 3:</w:t>
        </w:r>
        <w:r w:rsidRPr="00A46FFF">
          <w:rPr>
            <w:rStyle w:val="Hyperlink"/>
            <w:noProof/>
          </w:rPr>
          <w:t xml:space="preserve"> Known cell condition is currently not fully visible to the network.</w:t>
        </w:r>
      </w:hyperlink>
    </w:p>
    <w:p w14:paraId="5AC9C3C2" w14:textId="3277CF0D" w:rsidR="000F3F4A" w:rsidRDefault="000F3F4A">
      <w:pPr>
        <w:pStyle w:val="TOC5"/>
        <w:rPr>
          <w:rFonts w:asciiTheme="minorHAnsi" w:eastAsiaTheme="minorEastAsia" w:hAnsiTheme="minorHAnsi"/>
          <w:b w:val="0"/>
          <w:noProof/>
          <w:kern w:val="2"/>
          <w:sz w:val="22"/>
          <w14:ligatures w14:val="standardContextual"/>
        </w:rPr>
      </w:pPr>
      <w:hyperlink w:anchor="_Toc149904406" w:history="1">
        <w:r w:rsidRPr="00A46FFF">
          <w:rPr>
            <w:rStyle w:val="Hyperlink"/>
            <w:noProof/>
          </w:rPr>
          <w:t>Proposal 12: Cells detected more than 5s ago but are still detectable, are considered as known cells for LTM.</w:t>
        </w:r>
      </w:hyperlink>
    </w:p>
    <w:p w14:paraId="0967DD52" w14:textId="2641CDE7" w:rsidR="000F3F4A" w:rsidRDefault="000F3F4A">
      <w:pPr>
        <w:pStyle w:val="TOC5"/>
        <w:rPr>
          <w:rFonts w:asciiTheme="minorHAnsi" w:eastAsiaTheme="minorEastAsia" w:hAnsiTheme="minorHAnsi"/>
          <w:b w:val="0"/>
          <w:noProof/>
          <w:kern w:val="2"/>
          <w:sz w:val="22"/>
          <w14:ligatures w14:val="standardContextual"/>
        </w:rPr>
      </w:pPr>
      <w:hyperlink w:anchor="_Toc149904407" w:history="1">
        <w:r w:rsidRPr="00A46FFF">
          <w:rPr>
            <w:rStyle w:val="Hyperlink"/>
            <w:noProof/>
          </w:rPr>
          <w:t>Proposal 13: The target joint DL/UL TCI state or separate DL and UL TCI states in the LTM cell switch command are known if the following conditions are met:</w:t>
        </w:r>
      </w:hyperlink>
    </w:p>
    <w:p w14:paraId="413D6F7D" w14:textId="70A24AAF" w:rsidR="00C47A2D" w:rsidRPr="0006707B" w:rsidRDefault="00A4355E" w:rsidP="00C47A2D">
      <w:pPr>
        <w:numPr>
          <w:ilvl w:val="0"/>
          <w:numId w:val="24"/>
        </w:numPr>
        <w:rPr>
          <w:b/>
          <w:bCs/>
        </w:rPr>
      </w:pPr>
      <w:r w:rsidRPr="008C39F7">
        <w:fldChar w:fldCharType="end"/>
      </w:r>
      <w:bookmarkStart w:id="21" w:name="_Toc116995849"/>
      <w:r w:rsidR="00C47A2D" w:rsidRPr="00C47A2D">
        <w:rPr>
          <w:b/>
          <w:bCs/>
        </w:rPr>
        <w:t xml:space="preserve"> </w:t>
      </w:r>
      <w:r w:rsidR="00C47A2D" w:rsidRPr="0006707B">
        <w:rPr>
          <w:b/>
          <w:bCs/>
        </w:rPr>
        <w:t xml:space="preserve">During the period from the last transmission of the RS resource used for the L1-RSRP measurement reporting for the target </w:t>
      </w:r>
      <w:r w:rsidR="00C47A2D" w:rsidRPr="00751832">
        <w:rPr>
          <w:b/>
          <w:bCs/>
        </w:rPr>
        <w:t>DL</w:t>
      </w:r>
      <w:r w:rsidR="00C47A2D">
        <w:rPr>
          <w:b/>
          <w:bCs/>
        </w:rPr>
        <w:t>/UL</w:t>
      </w:r>
      <w:r w:rsidR="00C47A2D" w:rsidRPr="00751832">
        <w:rPr>
          <w:b/>
          <w:bCs/>
        </w:rPr>
        <w:t xml:space="preserve"> </w:t>
      </w:r>
      <w:r w:rsidR="00C47A2D" w:rsidRPr="0006707B">
        <w:rPr>
          <w:b/>
          <w:bCs/>
        </w:rPr>
        <w:t>TCI state</w:t>
      </w:r>
      <w:r w:rsidR="00C47A2D" w:rsidRPr="00751832">
        <w:rPr>
          <w:b/>
          <w:bCs/>
        </w:rPr>
        <w:t xml:space="preserve"> </w:t>
      </w:r>
      <w:r w:rsidR="00C47A2D" w:rsidRPr="0006707B">
        <w:rPr>
          <w:b/>
          <w:bCs/>
        </w:rPr>
        <w:t xml:space="preserve">to the completion of </w:t>
      </w:r>
      <w:r w:rsidR="00C47A2D" w:rsidRPr="00751832">
        <w:rPr>
          <w:b/>
          <w:bCs/>
        </w:rPr>
        <w:t xml:space="preserve">LTM </w:t>
      </w:r>
      <w:r w:rsidR="00C47A2D" w:rsidRPr="0006707B">
        <w:rPr>
          <w:b/>
          <w:bCs/>
        </w:rPr>
        <w:t xml:space="preserve">cell switch, where the RS resource for L1-RSRP measurement is the RS in target </w:t>
      </w:r>
      <w:r w:rsidR="00C47A2D" w:rsidRPr="00751832">
        <w:rPr>
          <w:b/>
          <w:bCs/>
        </w:rPr>
        <w:t xml:space="preserve">DL/UL </w:t>
      </w:r>
      <w:r w:rsidR="00C47A2D" w:rsidRPr="0006707B">
        <w:rPr>
          <w:b/>
          <w:bCs/>
        </w:rPr>
        <w:t xml:space="preserve">TCI state or </w:t>
      </w:r>
      <w:proofErr w:type="spellStart"/>
      <w:r w:rsidR="00C47A2D" w:rsidRPr="0006707B">
        <w:rPr>
          <w:b/>
          <w:bCs/>
        </w:rPr>
        <w:t>QCLed</w:t>
      </w:r>
      <w:proofErr w:type="spellEnd"/>
      <w:r w:rsidR="00C47A2D" w:rsidRPr="0006707B">
        <w:rPr>
          <w:b/>
          <w:bCs/>
        </w:rPr>
        <w:t xml:space="preserve"> to the target </w:t>
      </w:r>
      <w:r w:rsidR="00C47A2D" w:rsidRPr="00751832">
        <w:rPr>
          <w:b/>
          <w:bCs/>
        </w:rPr>
        <w:t xml:space="preserve">DL/UL </w:t>
      </w:r>
      <w:r w:rsidR="00C47A2D" w:rsidRPr="0006707B">
        <w:rPr>
          <w:b/>
          <w:bCs/>
        </w:rPr>
        <w:t>TCI state</w:t>
      </w:r>
    </w:p>
    <w:p w14:paraId="6CEAE866" w14:textId="77777777" w:rsidR="00C47A2D" w:rsidRPr="0006707B" w:rsidRDefault="00C47A2D" w:rsidP="00C47A2D">
      <w:pPr>
        <w:numPr>
          <w:ilvl w:val="1"/>
          <w:numId w:val="24"/>
        </w:numPr>
        <w:rPr>
          <w:b/>
          <w:bCs/>
        </w:rPr>
      </w:pPr>
      <w:r w:rsidRPr="00751832">
        <w:rPr>
          <w:b/>
          <w:bCs/>
        </w:rPr>
        <w:t>LTM c</w:t>
      </w:r>
      <w:r w:rsidRPr="0006707B">
        <w:rPr>
          <w:b/>
          <w:bCs/>
        </w:rPr>
        <w:t xml:space="preserve">ell switch command is received within 1280 ms upon the last transmission of the RS resource for beam reporting or measurement </w:t>
      </w:r>
    </w:p>
    <w:p w14:paraId="0AE270AB" w14:textId="77777777" w:rsidR="00C47A2D" w:rsidRPr="0006707B" w:rsidRDefault="00C47A2D" w:rsidP="00C47A2D">
      <w:pPr>
        <w:numPr>
          <w:ilvl w:val="1"/>
          <w:numId w:val="24"/>
        </w:numPr>
        <w:rPr>
          <w:b/>
          <w:bCs/>
        </w:rPr>
      </w:pPr>
      <w:r w:rsidRPr="0006707B">
        <w:rPr>
          <w:b/>
          <w:bCs/>
        </w:rPr>
        <w:t xml:space="preserve">The UE has sent at least 1 L1-RSRP report for the target </w:t>
      </w:r>
      <w:r w:rsidRPr="00751832">
        <w:rPr>
          <w:b/>
          <w:bCs/>
        </w:rPr>
        <w:t xml:space="preserve">DL/UL </w:t>
      </w:r>
      <w:r w:rsidRPr="0006707B">
        <w:rPr>
          <w:b/>
          <w:bCs/>
        </w:rPr>
        <w:t xml:space="preserve">TCI state before the </w:t>
      </w:r>
      <w:r w:rsidRPr="00751832">
        <w:rPr>
          <w:b/>
          <w:bCs/>
        </w:rPr>
        <w:t xml:space="preserve">LTM </w:t>
      </w:r>
      <w:r w:rsidRPr="0006707B">
        <w:rPr>
          <w:b/>
          <w:bCs/>
        </w:rPr>
        <w:t>cell switch command</w:t>
      </w:r>
    </w:p>
    <w:p w14:paraId="2C08FAE8" w14:textId="77777777" w:rsidR="00C47A2D" w:rsidRPr="0006707B" w:rsidRDefault="00C47A2D" w:rsidP="00C47A2D">
      <w:pPr>
        <w:numPr>
          <w:ilvl w:val="1"/>
          <w:numId w:val="24"/>
        </w:numPr>
        <w:rPr>
          <w:b/>
          <w:bCs/>
        </w:rPr>
      </w:pPr>
      <w:r w:rsidRPr="0006707B">
        <w:rPr>
          <w:b/>
          <w:bCs/>
        </w:rPr>
        <w:t xml:space="preserve">The </w:t>
      </w:r>
      <w:r>
        <w:rPr>
          <w:b/>
          <w:bCs/>
        </w:rPr>
        <w:t xml:space="preserve">target </w:t>
      </w:r>
      <w:r w:rsidRPr="00751832">
        <w:rPr>
          <w:b/>
          <w:bCs/>
        </w:rPr>
        <w:t xml:space="preserve">DL/UL </w:t>
      </w:r>
      <w:r w:rsidRPr="0006707B">
        <w:rPr>
          <w:b/>
          <w:bCs/>
        </w:rPr>
        <w:t xml:space="preserve">TCI state remains detectable during the </w:t>
      </w:r>
      <w:r w:rsidRPr="00751832">
        <w:rPr>
          <w:b/>
          <w:bCs/>
        </w:rPr>
        <w:t xml:space="preserve">LTM </w:t>
      </w:r>
      <w:r w:rsidRPr="0006707B">
        <w:rPr>
          <w:b/>
          <w:bCs/>
        </w:rPr>
        <w:t>cell switching period</w:t>
      </w:r>
    </w:p>
    <w:p w14:paraId="6F8E6541" w14:textId="77777777" w:rsidR="00C47A2D" w:rsidRPr="0006707B" w:rsidRDefault="00C47A2D" w:rsidP="00C47A2D">
      <w:pPr>
        <w:numPr>
          <w:ilvl w:val="1"/>
          <w:numId w:val="24"/>
        </w:numPr>
        <w:rPr>
          <w:b/>
          <w:bCs/>
        </w:rPr>
      </w:pPr>
      <w:r w:rsidRPr="0006707B">
        <w:rPr>
          <w:b/>
          <w:bCs/>
        </w:rPr>
        <w:lastRenderedPageBreak/>
        <w:t xml:space="preserve">The SSB associated with the </w:t>
      </w:r>
      <w:r>
        <w:rPr>
          <w:b/>
          <w:bCs/>
        </w:rPr>
        <w:t xml:space="preserve">target </w:t>
      </w:r>
      <w:r w:rsidRPr="00751832">
        <w:rPr>
          <w:b/>
          <w:bCs/>
        </w:rPr>
        <w:t xml:space="preserve">DL/UL </w:t>
      </w:r>
      <w:r w:rsidRPr="0006707B">
        <w:rPr>
          <w:b/>
          <w:bCs/>
        </w:rPr>
        <w:t xml:space="preserve">TCI state remain detectable during the cell </w:t>
      </w:r>
      <w:r>
        <w:rPr>
          <w:b/>
          <w:bCs/>
        </w:rPr>
        <w:t>s</w:t>
      </w:r>
      <w:r w:rsidRPr="0006707B">
        <w:rPr>
          <w:b/>
          <w:bCs/>
        </w:rPr>
        <w:t>witching period</w:t>
      </w:r>
    </w:p>
    <w:p w14:paraId="44CF59B0" w14:textId="77777777" w:rsidR="00C47A2D" w:rsidRPr="0006707B" w:rsidRDefault="00C47A2D" w:rsidP="00C47A2D">
      <w:pPr>
        <w:numPr>
          <w:ilvl w:val="2"/>
          <w:numId w:val="24"/>
        </w:numPr>
        <w:rPr>
          <w:b/>
          <w:bCs/>
        </w:rPr>
      </w:pPr>
      <w:r w:rsidRPr="0006707B">
        <w:rPr>
          <w:b/>
          <w:bCs/>
        </w:rPr>
        <w:t>SNR of the TCI state ≥ -3dB</w:t>
      </w:r>
    </w:p>
    <w:p w14:paraId="61B07E24" w14:textId="77777777" w:rsidR="00C47A2D" w:rsidRPr="0006707B" w:rsidRDefault="00C47A2D" w:rsidP="00C47A2D">
      <w:pPr>
        <w:numPr>
          <w:ilvl w:val="0"/>
          <w:numId w:val="24"/>
        </w:numPr>
        <w:rPr>
          <w:b/>
          <w:bCs/>
        </w:rPr>
      </w:pPr>
      <w:r w:rsidRPr="0006707B">
        <w:rPr>
          <w:b/>
          <w:bCs/>
        </w:rPr>
        <w:t xml:space="preserve">Otherwise, the </w:t>
      </w:r>
      <w:r w:rsidRPr="00751832">
        <w:rPr>
          <w:b/>
          <w:bCs/>
        </w:rPr>
        <w:t>target joint DL/UL TCI state or separate DL and UL TCI state</w:t>
      </w:r>
      <w:r w:rsidRPr="0006707B">
        <w:rPr>
          <w:b/>
          <w:bCs/>
        </w:rPr>
        <w:t xml:space="preserve"> is unknown.</w:t>
      </w:r>
    </w:p>
    <w:bookmarkEnd w:id="21"/>
    <w:p w14:paraId="722B2E48" w14:textId="77777777" w:rsidR="00B337C0" w:rsidRPr="00E6302E" w:rsidRDefault="00B337C0" w:rsidP="00B337C0">
      <w:pPr>
        <w:pStyle w:val="RAN4H1"/>
        <w:numPr>
          <w:ilvl w:val="0"/>
          <w:numId w:val="0"/>
        </w:numPr>
        <w:ind w:left="360" w:hanging="360"/>
      </w:pPr>
      <w:r w:rsidRPr="00E6302E">
        <w:t>References</w:t>
      </w:r>
    </w:p>
    <w:p w14:paraId="7F351DC1" w14:textId="7B88356A" w:rsidR="0060543D" w:rsidRPr="005E1081" w:rsidRDefault="006F6B53" w:rsidP="00C533C8">
      <w:pPr>
        <w:pStyle w:val="ListParagraph"/>
        <w:numPr>
          <w:ilvl w:val="0"/>
          <w:numId w:val="5"/>
        </w:numPr>
        <w:spacing w:after="0" w:line="240" w:lineRule="auto"/>
        <w:ind w:right="-22"/>
        <w:jc w:val="left"/>
      </w:pPr>
      <w:bookmarkStart w:id="22" w:name="_Ref114500673"/>
      <w:bookmarkEnd w:id="22"/>
      <w:r w:rsidRPr="00E6302E">
        <w:t>R</w:t>
      </w:r>
      <w:r w:rsidR="00C533C8">
        <w:t xml:space="preserve">4-2317330, WF on NR mobility enhancements (part 1), MediaTek, </w:t>
      </w:r>
      <w:r w:rsidR="00C533C8">
        <w:rPr>
          <w:rFonts w:cs="Times New Roman"/>
          <w:lang w:val="en-GB"/>
        </w:rPr>
        <w:t>RAN4#108bis meeting, Xiamen, China, 9-13 October, 2023</w:t>
      </w:r>
      <w:r w:rsidR="005E1081">
        <w:rPr>
          <w:rFonts w:cs="Times New Roman"/>
          <w:lang w:val="en-GB"/>
        </w:rPr>
        <w:t>.</w:t>
      </w:r>
    </w:p>
    <w:p w14:paraId="65532685" w14:textId="4D0C8AB7" w:rsidR="002C047E" w:rsidRDefault="002C047E" w:rsidP="000804E8">
      <w:pPr>
        <w:pStyle w:val="ListParagraph"/>
        <w:numPr>
          <w:ilvl w:val="0"/>
          <w:numId w:val="5"/>
        </w:numPr>
      </w:pPr>
      <w:r w:rsidRPr="002C047E">
        <w:t>R4-2319284</w:t>
      </w:r>
      <w:r>
        <w:t xml:space="preserve">, </w:t>
      </w:r>
      <w:r w:rsidRPr="002C047E">
        <w:t>Draft CR on LTM cell switch delay requirements</w:t>
      </w:r>
      <w:r>
        <w:t xml:space="preserve">, Nokia, Nokia Shanghai Bell, </w:t>
      </w:r>
      <w:r w:rsidR="00A74F5B" w:rsidRPr="00A74F5B">
        <w:t>3GPP TSG-RAN WG4 Meeting #109, Chicago, US, November 13 – 17, 2023</w:t>
      </w:r>
      <w:r w:rsidR="00A74F5B">
        <w:t>.</w:t>
      </w:r>
    </w:p>
    <w:p w14:paraId="3F1B628B" w14:textId="293159EA" w:rsidR="00783F2F" w:rsidRPr="00EF77E6" w:rsidRDefault="00783F2F" w:rsidP="000804E8">
      <w:pPr>
        <w:pStyle w:val="ListParagraph"/>
        <w:numPr>
          <w:ilvl w:val="0"/>
          <w:numId w:val="5"/>
        </w:numPr>
      </w:pPr>
      <w:r>
        <w:t>R4-2317436</w:t>
      </w:r>
      <w:r w:rsidR="000804E8">
        <w:t xml:space="preserve">, </w:t>
      </w:r>
      <w:r w:rsidR="000804E8" w:rsidRPr="000804E8">
        <w:t>Draft Big CR to TS 38.133 on Further NR mobility enhancements</w:t>
      </w:r>
      <w:r w:rsidR="000804E8">
        <w:t xml:space="preserve">, </w:t>
      </w:r>
      <w:r w:rsidR="00730C58">
        <w:rPr>
          <w:noProof/>
        </w:rPr>
        <w:t xml:space="preserve">MediaTek Inc, </w:t>
      </w:r>
      <w:r w:rsidR="00730C58">
        <w:rPr>
          <w:noProof/>
          <w:lang w:eastAsia="zh-CN"/>
        </w:rPr>
        <w:t>Apple</w:t>
      </w:r>
      <w:r w:rsidR="00730C58">
        <w:rPr>
          <w:noProof/>
          <w:lang w:eastAsia="zh-CN"/>
        </w:rPr>
        <w:t xml:space="preserve">, </w:t>
      </w:r>
      <w:r w:rsidR="00730C58">
        <w:rPr>
          <w:rFonts w:cs="Times New Roman"/>
          <w:lang w:val="en-GB"/>
        </w:rPr>
        <w:t>RAN4#108bis meeting, Xiamen, China, 9-13 October, 2023.</w:t>
      </w:r>
    </w:p>
    <w:p w14:paraId="36443813" w14:textId="342C7C55" w:rsidR="00EF77E6" w:rsidRPr="00A74F5B" w:rsidRDefault="0000305E" w:rsidP="000804E8">
      <w:pPr>
        <w:pStyle w:val="ListParagraph"/>
        <w:numPr>
          <w:ilvl w:val="0"/>
          <w:numId w:val="5"/>
        </w:numPr>
      </w:pPr>
      <w:r w:rsidRPr="0000305E">
        <w:t>R4-2319281</w:t>
      </w:r>
      <w:r>
        <w:t xml:space="preserve">, </w:t>
      </w:r>
      <w:r w:rsidRPr="0000305E">
        <w:t>On general aspects of LTM</w:t>
      </w:r>
      <w:r>
        <w:t xml:space="preserve">, </w:t>
      </w:r>
      <w:r w:rsidRPr="0000305E">
        <w:t>Nokia, Nokia Shanghai Bell</w:t>
      </w:r>
      <w:r>
        <w:t xml:space="preserve">, </w:t>
      </w:r>
      <w:r w:rsidRPr="00A74F5B">
        <w:t>3GPP TSG-RAN WG4 Meeting #109, Chicago, US, November 13 – 17, 2023</w:t>
      </w:r>
      <w:r>
        <w:t>.</w:t>
      </w:r>
    </w:p>
    <w:p w14:paraId="4E305D67" w14:textId="77777777" w:rsidR="00A74F5B" w:rsidRDefault="00A74F5B" w:rsidP="00A74F5B"/>
    <w:p w14:paraId="35A2D104" w14:textId="77777777" w:rsidR="00A74F5B" w:rsidRPr="008C39F7" w:rsidRDefault="00A74F5B" w:rsidP="00A74F5B"/>
    <w:sectPr w:rsidR="00A74F5B"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9AEC0" w14:textId="77777777" w:rsidR="000249D2" w:rsidRDefault="000249D2" w:rsidP="00001C9B">
      <w:pPr>
        <w:spacing w:after="0" w:line="240" w:lineRule="auto"/>
      </w:pPr>
      <w:r>
        <w:separator/>
      </w:r>
    </w:p>
  </w:endnote>
  <w:endnote w:type="continuationSeparator" w:id="0">
    <w:p w14:paraId="538287C6" w14:textId="77777777" w:rsidR="000249D2" w:rsidRDefault="000249D2" w:rsidP="00001C9B">
      <w:pPr>
        <w:spacing w:after="0" w:line="240" w:lineRule="auto"/>
      </w:pPr>
      <w:r>
        <w:continuationSeparator/>
      </w:r>
    </w:p>
  </w:endnote>
  <w:endnote w:type="continuationNotice" w:id="1">
    <w:p w14:paraId="73BACDA1" w14:textId="77777777" w:rsidR="000249D2" w:rsidRDefault="000249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B6E8E" w14:textId="77777777" w:rsidR="000249D2" w:rsidRDefault="000249D2" w:rsidP="00001C9B">
      <w:pPr>
        <w:spacing w:after="0" w:line="240" w:lineRule="auto"/>
      </w:pPr>
      <w:r>
        <w:separator/>
      </w:r>
    </w:p>
  </w:footnote>
  <w:footnote w:type="continuationSeparator" w:id="0">
    <w:p w14:paraId="3E7290F1" w14:textId="77777777" w:rsidR="000249D2" w:rsidRDefault="000249D2" w:rsidP="00001C9B">
      <w:pPr>
        <w:spacing w:after="0" w:line="240" w:lineRule="auto"/>
      </w:pPr>
      <w:r>
        <w:continuationSeparator/>
      </w:r>
    </w:p>
  </w:footnote>
  <w:footnote w:type="continuationNotice" w:id="1">
    <w:p w14:paraId="4D9BCFF2" w14:textId="77777777" w:rsidR="000249D2" w:rsidRDefault="000249D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659"/>
    <w:multiLevelType w:val="hybridMultilevel"/>
    <w:tmpl w:val="5BF07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525F5"/>
    <w:multiLevelType w:val="multilevel"/>
    <w:tmpl w:val="ACFA7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D212FD"/>
    <w:multiLevelType w:val="multilevel"/>
    <w:tmpl w:val="3DE28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DC50124"/>
    <w:multiLevelType w:val="multilevel"/>
    <w:tmpl w:val="EF80A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791552E"/>
    <w:multiLevelType w:val="multilevel"/>
    <w:tmpl w:val="1FFA25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8B51536"/>
    <w:multiLevelType w:val="multilevel"/>
    <w:tmpl w:val="B852C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8061DF"/>
    <w:multiLevelType w:val="multilevel"/>
    <w:tmpl w:val="DB585E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6762D6"/>
    <w:multiLevelType w:val="multilevel"/>
    <w:tmpl w:val="E01AC9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2021D4"/>
    <w:multiLevelType w:val="multilevel"/>
    <w:tmpl w:val="F61E8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5DF0E07"/>
    <w:multiLevelType w:val="hybridMultilevel"/>
    <w:tmpl w:val="54CEF582"/>
    <w:lvl w:ilvl="0" w:tplc="822075A2">
      <w:start w:val="1"/>
      <w:numFmt w:val="bullet"/>
      <w:lvlText w:val="-"/>
      <w:lvlJc w:val="left"/>
      <w:pPr>
        <w:ind w:left="929" w:hanging="360"/>
      </w:pPr>
      <w:rPr>
        <w:rFonts w:ascii="Times New Roman" w:eastAsia="Times New Roman"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2C3069"/>
    <w:multiLevelType w:val="multilevel"/>
    <w:tmpl w:val="E124A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DB2440A"/>
    <w:multiLevelType w:val="multilevel"/>
    <w:tmpl w:val="D9AC20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E13CDF"/>
    <w:multiLevelType w:val="multilevel"/>
    <w:tmpl w:val="D17069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2A1348"/>
    <w:multiLevelType w:val="multilevel"/>
    <w:tmpl w:val="BEA09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D40CC8"/>
    <w:multiLevelType w:val="multilevel"/>
    <w:tmpl w:val="0284EA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404124"/>
    <w:multiLevelType w:val="hybridMultilevel"/>
    <w:tmpl w:val="BD3669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B02CE3"/>
    <w:multiLevelType w:val="multilevel"/>
    <w:tmpl w:val="7474DF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11"/>
  </w:num>
  <w:num w:numId="2" w16cid:durableId="80681869">
    <w:abstractNumId w:val="6"/>
  </w:num>
  <w:num w:numId="3" w16cid:durableId="1566528953">
    <w:abstractNumId w:val="10"/>
  </w:num>
  <w:num w:numId="4" w16cid:durableId="1456096507">
    <w:abstractNumId w:val="21"/>
  </w:num>
  <w:num w:numId="5" w16cid:durableId="1659071369">
    <w:abstractNumId w:val="15"/>
  </w:num>
  <w:num w:numId="6" w16cid:durableId="143009612">
    <w:abstractNumId w:val="0"/>
  </w:num>
  <w:num w:numId="7" w16cid:durableId="1270044137">
    <w:abstractNumId w:val="8"/>
  </w:num>
  <w:num w:numId="8" w16cid:durableId="248004844">
    <w:abstractNumId w:val="23"/>
  </w:num>
  <w:num w:numId="9" w16cid:durableId="1777140176">
    <w:abstractNumId w:val="14"/>
  </w:num>
  <w:num w:numId="10" w16cid:durableId="1559323755">
    <w:abstractNumId w:val="4"/>
  </w:num>
  <w:num w:numId="11" w16cid:durableId="500237161">
    <w:abstractNumId w:val="17"/>
  </w:num>
  <w:num w:numId="12" w16cid:durableId="1249776766">
    <w:abstractNumId w:val="22"/>
  </w:num>
  <w:num w:numId="13" w16cid:durableId="1151213486">
    <w:abstractNumId w:val="3"/>
  </w:num>
  <w:num w:numId="14" w16cid:durableId="637495518">
    <w:abstractNumId w:val="16"/>
  </w:num>
  <w:num w:numId="15" w16cid:durableId="1443768268">
    <w:abstractNumId w:val="12"/>
  </w:num>
  <w:num w:numId="16" w16cid:durableId="95633823">
    <w:abstractNumId w:val="9"/>
  </w:num>
  <w:num w:numId="17" w16cid:durableId="822427026">
    <w:abstractNumId w:val="13"/>
  </w:num>
  <w:num w:numId="18" w16cid:durableId="53163515">
    <w:abstractNumId w:val="18"/>
  </w:num>
  <w:num w:numId="19" w16cid:durableId="382414029">
    <w:abstractNumId w:val="2"/>
  </w:num>
  <w:num w:numId="20" w16cid:durableId="1605335026">
    <w:abstractNumId w:val="20"/>
  </w:num>
  <w:num w:numId="21" w16cid:durableId="662314585">
    <w:abstractNumId w:val="5"/>
  </w:num>
  <w:num w:numId="22" w16cid:durableId="39519709">
    <w:abstractNumId w:val="7"/>
  </w:num>
  <w:num w:numId="23" w16cid:durableId="589199340">
    <w:abstractNumId w:val="19"/>
  </w:num>
  <w:num w:numId="24" w16cid:durableId="299770818">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220CC"/>
    <w:rsid w:val="00001C9B"/>
    <w:rsid w:val="00002595"/>
    <w:rsid w:val="00002E08"/>
    <w:rsid w:val="0000305E"/>
    <w:rsid w:val="000040DC"/>
    <w:rsid w:val="000056CB"/>
    <w:rsid w:val="000065ED"/>
    <w:rsid w:val="00011784"/>
    <w:rsid w:val="0001183E"/>
    <w:rsid w:val="000127BB"/>
    <w:rsid w:val="000151EF"/>
    <w:rsid w:val="000211EF"/>
    <w:rsid w:val="000239F5"/>
    <w:rsid w:val="000249D2"/>
    <w:rsid w:val="00025AA7"/>
    <w:rsid w:val="00027646"/>
    <w:rsid w:val="0003155E"/>
    <w:rsid w:val="00032BBF"/>
    <w:rsid w:val="00037DC7"/>
    <w:rsid w:val="00040E48"/>
    <w:rsid w:val="000430D8"/>
    <w:rsid w:val="000450FD"/>
    <w:rsid w:val="000456B3"/>
    <w:rsid w:val="000475D0"/>
    <w:rsid w:val="00047C06"/>
    <w:rsid w:val="00050DF3"/>
    <w:rsid w:val="0005135C"/>
    <w:rsid w:val="000559A9"/>
    <w:rsid w:val="00057616"/>
    <w:rsid w:val="00061098"/>
    <w:rsid w:val="00061EF9"/>
    <w:rsid w:val="00065BFE"/>
    <w:rsid w:val="0006707B"/>
    <w:rsid w:val="00075049"/>
    <w:rsid w:val="00076523"/>
    <w:rsid w:val="000804E8"/>
    <w:rsid w:val="000830B1"/>
    <w:rsid w:val="0008612A"/>
    <w:rsid w:val="00086873"/>
    <w:rsid w:val="000879B7"/>
    <w:rsid w:val="00090E18"/>
    <w:rsid w:val="000951A2"/>
    <w:rsid w:val="000951F1"/>
    <w:rsid w:val="00097228"/>
    <w:rsid w:val="000979D5"/>
    <w:rsid w:val="000A053B"/>
    <w:rsid w:val="000A10BC"/>
    <w:rsid w:val="000A20D9"/>
    <w:rsid w:val="000A2244"/>
    <w:rsid w:val="000A32C7"/>
    <w:rsid w:val="000A6BAF"/>
    <w:rsid w:val="000A7149"/>
    <w:rsid w:val="000B0056"/>
    <w:rsid w:val="000B1D19"/>
    <w:rsid w:val="000B20D7"/>
    <w:rsid w:val="000B2F0D"/>
    <w:rsid w:val="000B34AD"/>
    <w:rsid w:val="000B42F6"/>
    <w:rsid w:val="000B61E5"/>
    <w:rsid w:val="000C132A"/>
    <w:rsid w:val="000C2360"/>
    <w:rsid w:val="000C3C7B"/>
    <w:rsid w:val="000C43D7"/>
    <w:rsid w:val="000C45C3"/>
    <w:rsid w:val="000C56D1"/>
    <w:rsid w:val="000C579D"/>
    <w:rsid w:val="000C655A"/>
    <w:rsid w:val="000D0D37"/>
    <w:rsid w:val="000D0F93"/>
    <w:rsid w:val="000D12DA"/>
    <w:rsid w:val="000D145F"/>
    <w:rsid w:val="000D2CEB"/>
    <w:rsid w:val="000D42CE"/>
    <w:rsid w:val="000D448A"/>
    <w:rsid w:val="000D548B"/>
    <w:rsid w:val="000D6D9D"/>
    <w:rsid w:val="000D7746"/>
    <w:rsid w:val="000D7AE2"/>
    <w:rsid w:val="000E0C62"/>
    <w:rsid w:val="000E2B6D"/>
    <w:rsid w:val="000E5831"/>
    <w:rsid w:val="000F3F4A"/>
    <w:rsid w:val="000F4EA8"/>
    <w:rsid w:val="0010065E"/>
    <w:rsid w:val="00102C12"/>
    <w:rsid w:val="00106416"/>
    <w:rsid w:val="00110481"/>
    <w:rsid w:val="0011146D"/>
    <w:rsid w:val="00111935"/>
    <w:rsid w:val="00111E84"/>
    <w:rsid w:val="00112599"/>
    <w:rsid w:val="001127C9"/>
    <w:rsid w:val="00115B88"/>
    <w:rsid w:val="00116D19"/>
    <w:rsid w:val="0012023F"/>
    <w:rsid w:val="001254F5"/>
    <w:rsid w:val="00126343"/>
    <w:rsid w:val="00132F6A"/>
    <w:rsid w:val="00133913"/>
    <w:rsid w:val="00133F93"/>
    <w:rsid w:val="001400F1"/>
    <w:rsid w:val="00140221"/>
    <w:rsid w:val="001470D4"/>
    <w:rsid w:val="0015258A"/>
    <w:rsid w:val="00156FB0"/>
    <w:rsid w:val="00157874"/>
    <w:rsid w:val="001642FC"/>
    <w:rsid w:val="0016496B"/>
    <w:rsid w:val="0016705C"/>
    <w:rsid w:val="001716CF"/>
    <w:rsid w:val="00173F2D"/>
    <w:rsid w:val="001743E2"/>
    <w:rsid w:val="001745F8"/>
    <w:rsid w:val="00175BC3"/>
    <w:rsid w:val="0017607D"/>
    <w:rsid w:val="001800DC"/>
    <w:rsid w:val="001804AB"/>
    <w:rsid w:val="0018073C"/>
    <w:rsid w:val="00180B5F"/>
    <w:rsid w:val="00180D2B"/>
    <w:rsid w:val="001838CF"/>
    <w:rsid w:val="0018563C"/>
    <w:rsid w:val="001868EE"/>
    <w:rsid w:val="00187B20"/>
    <w:rsid w:val="00193416"/>
    <w:rsid w:val="001945EA"/>
    <w:rsid w:val="00197E2D"/>
    <w:rsid w:val="001A1E5B"/>
    <w:rsid w:val="001A3BA4"/>
    <w:rsid w:val="001A4A43"/>
    <w:rsid w:val="001A6731"/>
    <w:rsid w:val="001A6D1F"/>
    <w:rsid w:val="001B011D"/>
    <w:rsid w:val="001B09D4"/>
    <w:rsid w:val="001B44DF"/>
    <w:rsid w:val="001B6F44"/>
    <w:rsid w:val="001C09AD"/>
    <w:rsid w:val="001C0E30"/>
    <w:rsid w:val="001C0F20"/>
    <w:rsid w:val="001C2BF9"/>
    <w:rsid w:val="001C4099"/>
    <w:rsid w:val="001C73C3"/>
    <w:rsid w:val="001D019A"/>
    <w:rsid w:val="001D0C3D"/>
    <w:rsid w:val="001D3CC8"/>
    <w:rsid w:val="001D7B40"/>
    <w:rsid w:val="001D7D8E"/>
    <w:rsid w:val="001E13B9"/>
    <w:rsid w:val="001E151D"/>
    <w:rsid w:val="001E210F"/>
    <w:rsid w:val="001E30F6"/>
    <w:rsid w:val="001E6B9D"/>
    <w:rsid w:val="001F0C37"/>
    <w:rsid w:val="001F16D8"/>
    <w:rsid w:val="001F2644"/>
    <w:rsid w:val="001F2EF0"/>
    <w:rsid w:val="001F36B4"/>
    <w:rsid w:val="001F71FB"/>
    <w:rsid w:val="001F7B09"/>
    <w:rsid w:val="002002A0"/>
    <w:rsid w:val="00217EA8"/>
    <w:rsid w:val="00217EE5"/>
    <w:rsid w:val="00221A9B"/>
    <w:rsid w:val="002237F6"/>
    <w:rsid w:val="0022521D"/>
    <w:rsid w:val="0022688C"/>
    <w:rsid w:val="00226E07"/>
    <w:rsid w:val="00227B4F"/>
    <w:rsid w:val="00230270"/>
    <w:rsid w:val="002324FA"/>
    <w:rsid w:val="00233A7C"/>
    <w:rsid w:val="00235F5C"/>
    <w:rsid w:val="002424C7"/>
    <w:rsid w:val="0024264F"/>
    <w:rsid w:val="002430AB"/>
    <w:rsid w:val="00243EDB"/>
    <w:rsid w:val="00244641"/>
    <w:rsid w:val="002452FF"/>
    <w:rsid w:val="00250989"/>
    <w:rsid w:val="00252881"/>
    <w:rsid w:val="00252AE8"/>
    <w:rsid w:val="002530A2"/>
    <w:rsid w:val="00253E4D"/>
    <w:rsid w:val="002541B4"/>
    <w:rsid w:val="00257FA3"/>
    <w:rsid w:val="00262441"/>
    <w:rsid w:val="00262602"/>
    <w:rsid w:val="002629CB"/>
    <w:rsid w:val="00262A22"/>
    <w:rsid w:val="00263F95"/>
    <w:rsid w:val="00264B5D"/>
    <w:rsid w:val="002650B1"/>
    <w:rsid w:val="00271591"/>
    <w:rsid w:val="0027675C"/>
    <w:rsid w:val="00277B56"/>
    <w:rsid w:val="00277D7D"/>
    <w:rsid w:val="00282B61"/>
    <w:rsid w:val="002842BB"/>
    <w:rsid w:val="0028629D"/>
    <w:rsid w:val="002933C7"/>
    <w:rsid w:val="002951CB"/>
    <w:rsid w:val="00296DE3"/>
    <w:rsid w:val="002A19F5"/>
    <w:rsid w:val="002A52AD"/>
    <w:rsid w:val="002A648D"/>
    <w:rsid w:val="002A6B70"/>
    <w:rsid w:val="002A7030"/>
    <w:rsid w:val="002B1C5D"/>
    <w:rsid w:val="002B384E"/>
    <w:rsid w:val="002B4922"/>
    <w:rsid w:val="002B630E"/>
    <w:rsid w:val="002B7409"/>
    <w:rsid w:val="002C047E"/>
    <w:rsid w:val="002C0BC6"/>
    <w:rsid w:val="002C22C3"/>
    <w:rsid w:val="002C2D00"/>
    <w:rsid w:val="002C2D19"/>
    <w:rsid w:val="002C4A24"/>
    <w:rsid w:val="002C744F"/>
    <w:rsid w:val="002C778E"/>
    <w:rsid w:val="002D0FA8"/>
    <w:rsid w:val="002D10FA"/>
    <w:rsid w:val="002D4C55"/>
    <w:rsid w:val="002E0159"/>
    <w:rsid w:val="002E16D5"/>
    <w:rsid w:val="002E1B2A"/>
    <w:rsid w:val="002E2CBB"/>
    <w:rsid w:val="002E319B"/>
    <w:rsid w:val="002E3757"/>
    <w:rsid w:val="002E6DED"/>
    <w:rsid w:val="002F2A65"/>
    <w:rsid w:val="002F3543"/>
    <w:rsid w:val="00300956"/>
    <w:rsid w:val="003026DD"/>
    <w:rsid w:val="00302B96"/>
    <w:rsid w:val="00304AD1"/>
    <w:rsid w:val="003056DC"/>
    <w:rsid w:val="00306350"/>
    <w:rsid w:val="00306B52"/>
    <w:rsid w:val="00307B78"/>
    <w:rsid w:val="00307DBE"/>
    <w:rsid w:val="003113F8"/>
    <w:rsid w:val="003156E5"/>
    <w:rsid w:val="00315E6D"/>
    <w:rsid w:val="00317187"/>
    <w:rsid w:val="00323BD3"/>
    <w:rsid w:val="0032499A"/>
    <w:rsid w:val="003251F1"/>
    <w:rsid w:val="00325550"/>
    <w:rsid w:val="00326F9D"/>
    <w:rsid w:val="00327FAA"/>
    <w:rsid w:val="003312DD"/>
    <w:rsid w:val="003313F7"/>
    <w:rsid w:val="003341F7"/>
    <w:rsid w:val="00334503"/>
    <w:rsid w:val="00335593"/>
    <w:rsid w:val="0034042E"/>
    <w:rsid w:val="0034277D"/>
    <w:rsid w:val="0034286E"/>
    <w:rsid w:val="00345BA6"/>
    <w:rsid w:val="00346FAC"/>
    <w:rsid w:val="00347FEC"/>
    <w:rsid w:val="00350300"/>
    <w:rsid w:val="003532BE"/>
    <w:rsid w:val="00355137"/>
    <w:rsid w:val="00356F45"/>
    <w:rsid w:val="00362E94"/>
    <w:rsid w:val="003635FE"/>
    <w:rsid w:val="00363961"/>
    <w:rsid w:val="003639D3"/>
    <w:rsid w:val="00364CB1"/>
    <w:rsid w:val="00366B74"/>
    <w:rsid w:val="00367F07"/>
    <w:rsid w:val="00371D40"/>
    <w:rsid w:val="00372C19"/>
    <w:rsid w:val="003733EF"/>
    <w:rsid w:val="00381CF1"/>
    <w:rsid w:val="003823AE"/>
    <w:rsid w:val="00384FA1"/>
    <w:rsid w:val="00390C0D"/>
    <w:rsid w:val="00395DCB"/>
    <w:rsid w:val="003A009F"/>
    <w:rsid w:val="003A10EA"/>
    <w:rsid w:val="003A1DF1"/>
    <w:rsid w:val="003A2788"/>
    <w:rsid w:val="003A41FB"/>
    <w:rsid w:val="003A4CD1"/>
    <w:rsid w:val="003A710A"/>
    <w:rsid w:val="003A77CA"/>
    <w:rsid w:val="003B4023"/>
    <w:rsid w:val="003B659E"/>
    <w:rsid w:val="003C0246"/>
    <w:rsid w:val="003C1DF1"/>
    <w:rsid w:val="003C275E"/>
    <w:rsid w:val="003C4FDE"/>
    <w:rsid w:val="003C6C9A"/>
    <w:rsid w:val="003D3B6A"/>
    <w:rsid w:val="003D55AA"/>
    <w:rsid w:val="003D571C"/>
    <w:rsid w:val="003E3236"/>
    <w:rsid w:val="003E3711"/>
    <w:rsid w:val="003E51DB"/>
    <w:rsid w:val="003E58DF"/>
    <w:rsid w:val="003F0A5C"/>
    <w:rsid w:val="003F1EA5"/>
    <w:rsid w:val="003F4507"/>
    <w:rsid w:val="003F637C"/>
    <w:rsid w:val="003F6808"/>
    <w:rsid w:val="00402AEF"/>
    <w:rsid w:val="00404C4C"/>
    <w:rsid w:val="004105ED"/>
    <w:rsid w:val="0041105A"/>
    <w:rsid w:val="0041423F"/>
    <w:rsid w:val="00414633"/>
    <w:rsid w:val="00414F81"/>
    <w:rsid w:val="0041682F"/>
    <w:rsid w:val="0041703E"/>
    <w:rsid w:val="0041735C"/>
    <w:rsid w:val="00420305"/>
    <w:rsid w:val="00420FBE"/>
    <w:rsid w:val="004217B5"/>
    <w:rsid w:val="00421C30"/>
    <w:rsid w:val="00426787"/>
    <w:rsid w:val="00426F5E"/>
    <w:rsid w:val="00427F07"/>
    <w:rsid w:val="00435BF5"/>
    <w:rsid w:val="00436A0F"/>
    <w:rsid w:val="00437150"/>
    <w:rsid w:val="0043750A"/>
    <w:rsid w:val="00444491"/>
    <w:rsid w:val="00447AC2"/>
    <w:rsid w:val="0045237E"/>
    <w:rsid w:val="00453D80"/>
    <w:rsid w:val="004562F2"/>
    <w:rsid w:val="00456A2A"/>
    <w:rsid w:val="00456E31"/>
    <w:rsid w:val="004575AE"/>
    <w:rsid w:val="00465DED"/>
    <w:rsid w:val="00470741"/>
    <w:rsid w:val="00470804"/>
    <w:rsid w:val="004732E9"/>
    <w:rsid w:val="00475410"/>
    <w:rsid w:val="00475CD4"/>
    <w:rsid w:val="00475F9F"/>
    <w:rsid w:val="004760CD"/>
    <w:rsid w:val="004760E3"/>
    <w:rsid w:val="00484A46"/>
    <w:rsid w:val="0048516D"/>
    <w:rsid w:val="004854BB"/>
    <w:rsid w:val="004875DC"/>
    <w:rsid w:val="00487EAD"/>
    <w:rsid w:val="00491177"/>
    <w:rsid w:val="0049444B"/>
    <w:rsid w:val="00494493"/>
    <w:rsid w:val="004950FF"/>
    <w:rsid w:val="00496606"/>
    <w:rsid w:val="00496AB3"/>
    <w:rsid w:val="00497439"/>
    <w:rsid w:val="004A07EF"/>
    <w:rsid w:val="004A153F"/>
    <w:rsid w:val="004C1513"/>
    <w:rsid w:val="004C34E4"/>
    <w:rsid w:val="004C5498"/>
    <w:rsid w:val="004C5506"/>
    <w:rsid w:val="004C5D2D"/>
    <w:rsid w:val="004C7EA3"/>
    <w:rsid w:val="004D0209"/>
    <w:rsid w:val="004D083C"/>
    <w:rsid w:val="004E5E66"/>
    <w:rsid w:val="004E7987"/>
    <w:rsid w:val="004E7ADB"/>
    <w:rsid w:val="004F0B0D"/>
    <w:rsid w:val="004F0CDC"/>
    <w:rsid w:val="004F1FFB"/>
    <w:rsid w:val="004F2D58"/>
    <w:rsid w:val="004F5673"/>
    <w:rsid w:val="004F6178"/>
    <w:rsid w:val="00500770"/>
    <w:rsid w:val="005016D6"/>
    <w:rsid w:val="00503B4D"/>
    <w:rsid w:val="005049D6"/>
    <w:rsid w:val="00504EE9"/>
    <w:rsid w:val="005104E2"/>
    <w:rsid w:val="005108CE"/>
    <w:rsid w:val="00514EF6"/>
    <w:rsid w:val="00515447"/>
    <w:rsid w:val="00515B0D"/>
    <w:rsid w:val="00515BE1"/>
    <w:rsid w:val="00521576"/>
    <w:rsid w:val="00523AA2"/>
    <w:rsid w:val="005250E6"/>
    <w:rsid w:val="0052714D"/>
    <w:rsid w:val="00533DDB"/>
    <w:rsid w:val="00534BB0"/>
    <w:rsid w:val="00535886"/>
    <w:rsid w:val="00537078"/>
    <w:rsid w:val="005407EA"/>
    <w:rsid w:val="005413C7"/>
    <w:rsid w:val="00542D23"/>
    <w:rsid w:val="0054442C"/>
    <w:rsid w:val="00544A64"/>
    <w:rsid w:val="00546289"/>
    <w:rsid w:val="0054718E"/>
    <w:rsid w:val="00550285"/>
    <w:rsid w:val="00556531"/>
    <w:rsid w:val="00557CEE"/>
    <w:rsid w:val="00562492"/>
    <w:rsid w:val="00563F5A"/>
    <w:rsid w:val="005654BA"/>
    <w:rsid w:val="0056780A"/>
    <w:rsid w:val="0057005D"/>
    <w:rsid w:val="005715AA"/>
    <w:rsid w:val="00572A20"/>
    <w:rsid w:val="00573EC7"/>
    <w:rsid w:val="005803B3"/>
    <w:rsid w:val="0058262E"/>
    <w:rsid w:val="00582B09"/>
    <w:rsid w:val="00582DF8"/>
    <w:rsid w:val="005836F8"/>
    <w:rsid w:val="00583F05"/>
    <w:rsid w:val="00584527"/>
    <w:rsid w:val="0058609E"/>
    <w:rsid w:val="005918FA"/>
    <w:rsid w:val="0059255E"/>
    <w:rsid w:val="0059289C"/>
    <w:rsid w:val="00592A86"/>
    <w:rsid w:val="00593A4A"/>
    <w:rsid w:val="005949E8"/>
    <w:rsid w:val="00596118"/>
    <w:rsid w:val="005977CA"/>
    <w:rsid w:val="005A176D"/>
    <w:rsid w:val="005A186A"/>
    <w:rsid w:val="005A201C"/>
    <w:rsid w:val="005A224F"/>
    <w:rsid w:val="005A2429"/>
    <w:rsid w:val="005A3071"/>
    <w:rsid w:val="005A36E8"/>
    <w:rsid w:val="005A5DF5"/>
    <w:rsid w:val="005A6FE9"/>
    <w:rsid w:val="005B0245"/>
    <w:rsid w:val="005B0893"/>
    <w:rsid w:val="005B1994"/>
    <w:rsid w:val="005B363A"/>
    <w:rsid w:val="005B4801"/>
    <w:rsid w:val="005B4CD7"/>
    <w:rsid w:val="005B5638"/>
    <w:rsid w:val="005B5AA5"/>
    <w:rsid w:val="005B6ABC"/>
    <w:rsid w:val="005C23A4"/>
    <w:rsid w:val="005C261A"/>
    <w:rsid w:val="005C4FD7"/>
    <w:rsid w:val="005D1CDF"/>
    <w:rsid w:val="005D2BB7"/>
    <w:rsid w:val="005D33D8"/>
    <w:rsid w:val="005D3487"/>
    <w:rsid w:val="005D6D33"/>
    <w:rsid w:val="005E1081"/>
    <w:rsid w:val="005E2691"/>
    <w:rsid w:val="005E3C69"/>
    <w:rsid w:val="005E55FF"/>
    <w:rsid w:val="005E60CC"/>
    <w:rsid w:val="005E61A8"/>
    <w:rsid w:val="005E621F"/>
    <w:rsid w:val="005F132D"/>
    <w:rsid w:val="005F39FA"/>
    <w:rsid w:val="005F5483"/>
    <w:rsid w:val="005F6419"/>
    <w:rsid w:val="00600072"/>
    <w:rsid w:val="006004D4"/>
    <w:rsid w:val="0060543D"/>
    <w:rsid w:val="00607BEF"/>
    <w:rsid w:val="006104DD"/>
    <w:rsid w:val="00611F5C"/>
    <w:rsid w:val="00612DFF"/>
    <w:rsid w:val="006130B5"/>
    <w:rsid w:val="00614C5E"/>
    <w:rsid w:val="00617400"/>
    <w:rsid w:val="00620310"/>
    <w:rsid w:val="00620658"/>
    <w:rsid w:val="006215AD"/>
    <w:rsid w:val="00622F03"/>
    <w:rsid w:val="0062374A"/>
    <w:rsid w:val="006272B8"/>
    <w:rsid w:val="00630A45"/>
    <w:rsid w:val="00632D29"/>
    <w:rsid w:val="00634EF9"/>
    <w:rsid w:val="006368EB"/>
    <w:rsid w:val="00641DFC"/>
    <w:rsid w:val="006431EA"/>
    <w:rsid w:val="006438FF"/>
    <w:rsid w:val="0064795F"/>
    <w:rsid w:val="0065057F"/>
    <w:rsid w:val="0065416F"/>
    <w:rsid w:val="00656AA3"/>
    <w:rsid w:val="006573E1"/>
    <w:rsid w:val="0065762A"/>
    <w:rsid w:val="0066010A"/>
    <w:rsid w:val="00664659"/>
    <w:rsid w:val="00664950"/>
    <w:rsid w:val="006701BC"/>
    <w:rsid w:val="006705FC"/>
    <w:rsid w:val="00670BA4"/>
    <w:rsid w:val="00671963"/>
    <w:rsid w:val="0067264F"/>
    <w:rsid w:val="0067399E"/>
    <w:rsid w:val="0067421D"/>
    <w:rsid w:val="00674A14"/>
    <w:rsid w:val="00680AFD"/>
    <w:rsid w:val="00681228"/>
    <w:rsid w:val="00681A11"/>
    <w:rsid w:val="00683220"/>
    <w:rsid w:val="00685DC5"/>
    <w:rsid w:val="006877BD"/>
    <w:rsid w:val="00687FA0"/>
    <w:rsid w:val="00690606"/>
    <w:rsid w:val="00691C24"/>
    <w:rsid w:val="00694F71"/>
    <w:rsid w:val="00695723"/>
    <w:rsid w:val="0069573C"/>
    <w:rsid w:val="00695A92"/>
    <w:rsid w:val="00695F77"/>
    <w:rsid w:val="00697F11"/>
    <w:rsid w:val="006A3C11"/>
    <w:rsid w:val="006A55F1"/>
    <w:rsid w:val="006A7871"/>
    <w:rsid w:val="006B4961"/>
    <w:rsid w:val="006B4F4B"/>
    <w:rsid w:val="006B7010"/>
    <w:rsid w:val="006C0347"/>
    <w:rsid w:val="006C0647"/>
    <w:rsid w:val="006C0BCD"/>
    <w:rsid w:val="006C1D5C"/>
    <w:rsid w:val="006C2C9B"/>
    <w:rsid w:val="006C3095"/>
    <w:rsid w:val="006C5CBE"/>
    <w:rsid w:val="006C6E6F"/>
    <w:rsid w:val="006C7205"/>
    <w:rsid w:val="006C7C93"/>
    <w:rsid w:val="006C7F2D"/>
    <w:rsid w:val="006D0529"/>
    <w:rsid w:val="006D09E2"/>
    <w:rsid w:val="006D0E7F"/>
    <w:rsid w:val="006D23C9"/>
    <w:rsid w:val="006E1151"/>
    <w:rsid w:val="006E470D"/>
    <w:rsid w:val="006E48EF"/>
    <w:rsid w:val="006E62DF"/>
    <w:rsid w:val="006E6311"/>
    <w:rsid w:val="006E6DB5"/>
    <w:rsid w:val="006F23AA"/>
    <w:rsid w:val="006F4C0D"/>
    <w:rsid w:val="006F528E"/>
    <w:rsid w:val="006F600B"/>
    <w:rsid w:val="006F6B53"/>
    <w:rsid w:val="00703885"/>
    <w:rsid w:val="0070428F"/>
    <w:rsid w:val="00704447"/>
    <w:rsid w:val="00711422"/>
    <w:rsid w:val="00711A66"/>
    <w:rsid w:val="00712059"/>
    <w:rsid w:val="007145FF"/>
    <w:rsid w:val="00714F18"/>
    <w:rsid w:val="00715B2A"/>
    <w:rsid w:val="0071625D"/>
    <w:rsid w:val="0072149F"/>
    <w:rsid w:val="007220CC"/>
    <w:rsid w:val="0072282F"/>
    <w:rsid w:val="00722AFB"/>
    <w:rsid w:val="0072436E"/>
    <w:rsid w:val="0072688B"/>
    <w:rsid w:val="00727F85"/>
    <w:rsid w:val="00730C58"/>
    <w:rsid w:val="0073169B"/>
    <w:rsid w:val="00732502"/>
    <w:rsid w:val="007406FC"/>
    <w:rsid w:val="00741562"/>
    <w:rsid w:val="007450F1"/>
    <w:rsid w:val="00747115"/>
    <w:rsid w:val="007505E2"/>
    <w:rsid w:val="00751515"/>
    <w:rsid w:val="00751832"/>
    <w:rsid w:val="0076164F"/>
    <w:rsid w:val="007626B7"/>
    <w:rsid w:val="0076378F"/>
    <w:rsid w:val="00765209"/>
    <w:rsid w:val="00766260"/>
    <w:rsid w:val="0077296A"/>
    <w:rsid w:val="00776647"/>
    <w:rsid w:val="00776916"/>
    <w:rsid w:val="00776F82"/>
    <w:rsid w:val="007773DC"/>
    <w:rsid w:val="0078040A"/>
    <w:rsid w:val="0078212B"/>
    <w:rsid w:val="00783F2F"/>
    <w:rsid w:val="00784DF6"/>
    <w:rsid w:val="00784F1B"/>
    <w:rsid w:val="00785232"/>
    <w:rsid w:val="00791369"/>
    <w:rsid w:val="00793474"/>
    <w:rsid w:val="00794282"/>
    <w:rsid w:val="0079691D"/>
    <w:rsid w:val="007A0771"/>
    <w:rsid w:val="007A2D63"/>
    <w:rsid w:val="007A7099"/>
    <w:rsid w:val="007A7179"/>
    <w:rsid w:val="007A7BC4"/>
    <w:rsid w:val="007B186C"/>
    <w:rsid w:val="007B1D65"/>
    <w:rsid w:val="007B2D8D"/>
    <w:rsid w:val="007B5CF4"/>
    <w:rsid w:val="007C1696"/>
    <w:rsid w:val="007C2193"/>
    <w:rsid w:val="007C3512"/>
    <w:rsid w:val="007C3B9B"/>
    <w:rsid w:val="007C3ED0"/>
    <w:rsid w:val="007C5413"/>
    <w:rsid w:val="007C5971"/>
    <w:rsid w:val="007C5A02"/>
    <w:rsid w:val="007C630B"/>
    <w:rsid w:val="007C6C8C"/>
    <w:rsid w:val="007D037E"/>
    <w:rsid w:val="007D51C5"/>
    <w:rsid w:val="007E10A6"/>
    <w:rsid w:val="007E32DE"/>
    <w:rsid w:val="007E4356"/>
    <w:rsid w:val="007E4EC2"/>
    <w:rsid w:val="007E6F16"/>
    <w:rsid w:val="007E7D35"/>
    <w:rsid w:val="007F0E09"/>
    <w:rsid w:val="007F46BB"/>
    <w:rsid w:val="007F54B9"/>
    <w:rsid w:val="007F5860"/>
    <w:rsid w:val="0080131C"/>
    <w:rsid w:val="00801E22"/>
    <w:rsid w:val="00801FD8"/>
    <w:rsid w:val="00802BD4"/>
    <w:rsid w:val="00805543"/>
    <w:rsid w:val="00805ED2"/>
    <w:rsid w:val="00806A76"/>
    <w:rsid w:val="00806B84"/>
    <w:rsid w:val="00806E40"/>
    <w:rsid w:val="008076F8"/>
    <w:rsid w:val="008110C9"/>
    <w:rsid w:val="0081117D"/>
    <w:rsid w:val="00811C9D"/>
    <w:rsid w:val="008123A8"/>
    <w:rsid w:val="00815361"/>
    <w:rsid w:val="00815504"/>
    <w:rsid w:val="00816C80"/>
    <w:rsid w:val="00821F2C"/>
    <w:rsid w:val="00822D74"/>
    <w:rsid w:val="00826092"/>
    <w:rsid w:val="00827515"/>
    <w:rsid w:val="0083686C"/>
    <w:rsid w:val="00837ADE"/>
    <w:rsid w:val="00841BCD"/>
    <w:rsid w:val="00843835"/>
    <w:rsid w:val="008455FA"/>
    <w:rsid w:val="008508C0"/>
    <w:rsid w:val="0085108A"/>
    <w:rsid w:val="00851A8E"/>
    <w:rsid w:val="008532CC"/>
    <w:rsid w:val="0085365B"/>
    <w:rsid w:val="0085485A"/>
    <w:rsid w:val="008571DD"/>
    <w:rsid w:val="00857D36"/>
    <w:rsid w:val="008607A6"/>
    <w:rsid w:val="008736CF"/>
    <w:rsid w:val="00875037"/>
    <w:rsid w:val="00875F54"/>
    <w:rsid w:val="0087624B"/>
    <w:rsid w:val="00880759"/>
    <w:rsid w:val="00880D0E"/>
    <w:rsid w:val="008826C1"/>
    <w:rsid w:val="00882CD9"/>
    <w:rsid w:val="00883DFD"/>
    <w:rsid w:val="00884F7F"/>
    <w:rsid w:val="008903D4"/>
    <w:rsid w:val="00890509"/>
    <w:rsid w:val="0089072B"/>
    <w:rsid w:val="008A1BF7"/>
    <w:rsid w:val="008A2F42"/>
    <w:rsid w:val="008A342C"/>
    <w:rsid w:val="008A3A06"/>
    <w:rsid w:val="008A5B0E"/>
    <w:rsid w:val="008B020D"/>
    <w:rsid w:val="008B0961"/>
    <w:rsid w:val="008B09AD"/>
    <w:rsid w:val="008B1E3F"/>
    <w:rsid w:val="008B5AF2"/>
    <w:rsid w:val="008C05D5"/>
    <w:rsid w:val="008C0AF0"/>
    <w:rsid w:val="008C39F7"/>
    <w:rsid w:val="008C7503"/>
    <w:rsid w:val="008D334E"/>
    <w:rsid w:val="008D3F5B"/>
    <w:rsid w:val="008D5BE5"/>
    <w:rsid w:val="008D7455"/>
    <w:rsid w:val="008E07D9"/>
    <w:rsid w:val="008E1EEF"/>
    <w:rsid w:val="008F03E0"/>
    <w:rsid w:val="008F056E"/>
    <w:rsid w:val="008F1ACC"/>
    <w:rsid w:val="008F491A"/>
    <w:rsid w:val="008F5D61"/>
    <w:rsid w:val="009004ED"/>
    <w:rsid w:val="0090091A"/>
    <w:rsid w:val="009038F7"/>
    <w:rsid w:val="0090407D"/>
    <w:rsid w:val="009042BD"/>
    <w:rsid w:val="00904FE4"/>
    <w:rsid w:val="0090546C"/>
    <w:rsid w:val="00910FAF"/>
    <w:rsid w:val="0091388F"/>
    <w:rsid w:val="00916E30"/>
    <w:rsid w:val="0092030D"/>
    <w:rsid w:val="00921772"/>
    <w:rsid w:val="00923F02"/>
    <w:rsid w:val="0092523B"/>
    <w:rsid w:val="00934F85"/>
    <w:rsid w:val="00936159"/>
    <w:rsid w:val="00937749"/>
    <w:rsid w:val="0094427F"/>
    <w:rsid w:val="00946258"/>
    <w:rsid w:val="009465BC"/>
    <w:rsid w:val="00950F37"/>
    <w:rsid w:val="00953EE0"/>
    <w:rsid w:val="00955B81"/>
    <w:rsid w:val="00955E34"/>
    <w:rsid w:val="00963C05"/>
    <w:rsid w:val="0097019E"/>
    <w:rsid w:val="00970F43"/>
    <w:rsid w:val="00970FA3"/>
    <w:rsid w:val="00970FEF"/>
    <w:rsid w:val="009718DF"/>
    <w:rsid w:val="00972170"/>
    <w:rsid w:val="009732DB"/>
    <w:rsid w:val="00973ED3"/>
    <w:rsid w:val="009745BF"/>
    <w:rsid w:val="009756CC"/>
    <w:rsid w:val="00977E1D"/>
    <w:rsid w:val="009815F4"/>
    <w:rsid w:val="00983E30"/>
    <w:rsid w:val="009862C7"/>
    <w:rsid w:val="009864EC"/>
    <w:rsid w:val="00986F1F"/>
    <w:rsid w:val="00991AB6"/>
    <w:rsid w:val="00991D7C"/>
    <w:rsid w:val="00992D7E"/>
    <w:rsid w:val="00992DD4"/>
    <w:rsid w:val="00995B1E"/>
    <w:rsid w:val="00995B30"/>
    <w:rsid w:val="009A6AA4"/>
    <w:rsid w:val="009B0573"/>
    <w:rsid w:val="009B4127"/>
    <w:rsid w:val="009B5389"/>
    <w:rsid w:val="009B7153"/>
    <w:rsid w:val="009B7B4B"/>
    <w:rsid w:val="009B7C21"/>
    <w:rsid w:val="009C0D51"/>
    <w:rsid w:val="009C28EF"/>
    <w:rsid w:val="009C7263"/>
    <w:rsid w:val="009D4264"/>
    <w:rsid w:val="009D62C0"/>
    <w:rsid w:val="009D6F64"/>
    <w:rsid w:val="009E1FA2"/>
    <w:rsid w:val="009E35ED"/>
    <w:rsid w:val="009E7AF2"/>
    <w:rsid w:val="009F1C4A"/>
    <w:rsid w:val="009F4637"/>
    <w:rsid w:val="009F4D04"/>
    <w:rsid w:val="009F739F"/>
    <w:rsid w:val="00A000C2"/>
    <w:rsid w:val="00A02701"/>
    <w:rsid w:val="00A0376A"/>
    <w:rsid w:val="00A0470F"/>
    <w:rsid w:val="00A04992"/>
    <w:rsid w:val="00A06FF5"/>
    <w:rsid w:val="00A07479"/>
    <w:rsid w:val="00A07F10"/>
    <w:rsid w:val="00A10FBF"/>
    <w:rsid w:val="00A12A7E"/>
    <w:rsid w:val="00A13F8B"/>
    <w:rsid w:val="00A142EB"/>
    <w:rsid w:val="00A147AA"/>
    <w:rsid w:val="00A151D0"/>
    <w:rsid w:val="00A1560F"/>
    <w:rsid w:val="00A1584A"/>
    <w:rsid w:val="00A16D90"/>
    <w:rsid w:val="00A177AB"/>
    <w:rsid w:val="00A20CBE"/>
    <w:rsid w:val="00A21D71"/>
    <w:rsid w:val="00A22B78"/>
    <w:rsid w:val="00A2312B"/>
    <w:rsid w:val="00A2329E"/>
    <w:rsid w:val="00A235BF"/>
    <w:rsid w:val="00A23943"/>
    <w:rsid w:val="00A245C1"/>
    <w:rsid w:val="00A2585A"/>
    <w:rsid w:val="00A25AE5"/>
    <w:rsid w:val="00A277DB"/>
    <w:rsid w:val="00A30CBF"/>
    <w:rsid w:val="00A31B3E"/>
    <w:rsid w:val="00A33CE8"/>
    <w:rsid w:val="00A37002"/>
    <w:rsid w:val="00A40F7B"/>
    <w:rsid w:val="00A412B9"/>
    <w:rsid w:val="00A4355E"/>
    <w:rsid w:val="00A435FA"/>
    <w:rsid w:val="00A442B5"/>
    <w:rsid w:val="00A4441F"/>
    <w:rsid w:val="00A44A86"/>
    <w:rsid w:val="00A47193"/>
    <w:rsid w:val="00A53C33"/>
    <w:rsid w:val="00A54423"/>
    <w:rsid w:val="00A559FF"/>
    <w:rsid w:val="00A600E8"/>
    <w:rsid w:val="00A62828"/>
    <w:rsid w:val="00A65192"/>
    <w:rsid w:val="00A678CB"/>
    <w:rsid w:val="00A7091D"/>
    <w:rsid w:val="00A73DDA"/>
    <w:rsid w:val="00A74F5B"/>
    <w:rsid w:val="00A75A86"/>
    <w:rsid w:val="00A771AF"/>
    <w:rsid w:val="00A82B3F"/>
    <w:rsid w:val="00A8349A"/>
    <w:rsid w:val="00A84012"/>
    <w:rsid w:val="00A852D8"/>
    <w:rsid w:val="00A92BCD"/>
    <w:rsid w:val="00A952D0"/>
    <w:rsid w:val="00A96459"/>
    <w:rsid w:val="00AA06E7"/>
    <w:rsid w:val="00AA1054"/>
    <w:rsid w:val="00AA1B0E"/>
    <w:rsid w:val="00AA2EE2"/>
    <w:rsid w:val="00AA2F6C"/>
    <w:rsid w:val="00AA42E0"/>
    <w:rsid w:val="00AA47A8"/>
    <w:rsid w:val="00AA47B6"/>
    <w:rsid w:val="00AA6FE7"/>
    <w:rsid w:val="00AB0A96"/>
    <w:rsid w:val="00AB3621"/>
    <w:rsid w:val="00AC163B"/>
    <w:rsid w:val="00AC20F9"/>
    <w:rsid w:val="00AC472C"/>
    <w:rsid w:val="00AC5CA7"/>
    <w:rsid w:val="00AC6058"/>
    <w:rsid w:val="00AC78B8"/>
    <w:rsid w:val="00AC7E30"/>
    <w:rsid w:val="00AD24FE"/>
    <w:rsid w:val="00AD3CE7"/>
    <w:rsid w:val="00AE1AA5"/>
    <w:rsid w:val="00AE2BA5"/>
    <w:rsid w:val="00AE56B1"/>
    <w:rsid w:val="00AE6D09"/>
    <w:rsid w:val="00AE73BA"/>
    <w:rsid w:val="00AF00D4"/>
    <w:rsid w:val="00AF08D4"/>
    <w:rsid w:val="00AF0D04"/>
    <w:rsid w:val="00AF428D"/>
    <w:rsid w:val="00AF764D"/>
    <w:rsid w:val="00AF7A7C"/>
    <w:rsid w:val="00B01243"/>
    <w:rsid w:val="00B02070"/>
    <w:rsid w:val="00B0305C"/>
    <w:rsid w:val="00B04A09"/>
    <w:rsid w:val="00B04B40"/>
    <w:rsid w:val="00B12805"/>
    <w:rsid w:val="00B13F07"/>
    <w:rsid w:val="00B15095"/>
    <w:rsid w:val="00B17504"/>
    <w:rsid w:val="00B1783B"/>
    <w:rsid w:val="00B26BA8"/>
    <w:rsid w:val="00B3004E"/>
    <w:rsid w:val="00B309A6"/>
    <w:rsid w:val="00B33575"/>
    <w:rsid w:val="00B337C0"/>
    <w:rsid w:val="00B3415A"/>
    <w:rsid w:val="00B36356"/>
    <w:rsid w:val="00B3760F"/>
    <w:rsid w:val="00B40100"/>
    <w:rsid w:val="00B408B6"/>
    <w:rsid w:val="00B436FC"/>
    <w:rsid w:val="00B43A7C"/>
    <w:rsid w:val="00B44F2D"/>
    <w:rsid w:val="00B46AE1"/>
    <w:rsid w:val="00B479B3"/>
    <w:rsid w:val="00B500AE"/>
    <w:rsid w:val="00B53284"/>
    <w:rsid w:val="00B5366B"/>
    <w:rsid w:val="00B53CB3"/>
    <w:rsid w:val="00B53FF9"/>
    <w:rsid w:val="00B540D5"/>
    <w:rsid w:val="00B542DA"/>
    <w:rsid w:val="00B546D4"/>
    <w:rsid w:val="00B54D2A"/>
    <w:rsid w:val="00B561F2"/>
    <w:rsid w:val="00B62C13"/>
    <w:rsid w:val="00B665A4"/>
    <w:rsid w:val="00B70141"/>
    <w:rsid w:val="00B72C15"/>
    <w:rsid w:val="00B73862"/>
    <w:rsid w:val="00B73F43"/>
    <w:rsid w:val="00B75796"/>
    <w:rsid w:val="00B83547"/>
    <w:rsid w:val="00B90576"/>
    <w:rsid w:val="00B94BD6"/>
    <w:rsid w:val="00B9693F"/>
    <w:rsid w:val="00BA50FA"/>
    <w:rsid w:val="00BA5CC5"/>
    <w:rsid w:val="00BA6863"/>
    <w:rsid w:val="00BA6B66"/>
    <w:rsid w:val="00BA6E48"/>
    <w:rsid w:val="00BA75B8"/>
    <w:rsid w:val="00BB244A"/>
    <w:rsid w:val="00BB6EE6"/>
    <w:rsid w:val="00BB76A6"/>
    <w:rsid w:val="00BC0479"/>
    <w:rsid w:val="00BC5113"/>
    <w:rsid w:val="00BD0004"/>
    <w:rsid w:val="00BD1219"/>
    <w:rsid w:val="00BD304B"/>
    <w:rsid w:val="00BD73AE"/>
    <w:rsid w:val="00BE0AF6"/>
    <w:rsid w:val="00BE1F03"/>
    <w:rsid w:val="00BE5693"/>
    <w:rsid w:val="00BE58A7"/>
    <w:rsid w:val="00BE71A1"/>
    <w:rsid w:val="00BE7ED3"/>
    <w:rsid w:val="00BF2218"/>
    <w:rsid w:val="00BF23C6"/>
    <w:rsid w:val="00BF5149"/>
    <w:rsid w:val="00BF645B"/>
    <w:rsid w:val="00BF6CB9"/>
    <w:rsid w:val="00BF7EBF"/>
    <w:rsid w:val="00C01829"/>
    <w:rsid w:val="00C034B1"/>
    <w:rsid w:val="00C0426B"/>
    <w:rsid w:val="00C045DF"/>
    <w:rsid w:val="00C06295"/>
    <w:rsid w:val="00C07103"/>
    <w:rsid w:val="00C10EC8"/>
    <w:rsid w:val="00C110A9"/>
    <w:rsid w:val="00C122B2"/>
    <w:rsid w:val="00C14F55"/>
    <w:rsid w:val="00C153C5"/>
    <w:rsid w:val="00C20B86"/>
    <w:rsid w:val="00C21A73"/>
    <w:rsid w:val="00C2272B"/>
    <w:rsid w:val="00C2431E"/>
    <w:rsid w:val="00C26A93"/>
    <w:rsid w:val="00C26D43"/>
    <w:rsid w:val="00C30766"/>
    <w:rsid w:val="00C316EC"/>
    <w:rsid w:val="00C32940"/>
    <w:rsid w:val="00C35CBF"/>
    <w:rsid w:val="00C36C90"/>
    <w:rsid w:val="00C379F0"/>
    <w:rsid w:val="00C37B3C"/>
    <w:rsid w:val="00C41AE5"/>
    <w:rsid w:val="00C43EB2"/>
    <w:rsid w:val="00C46548"/>
    <w:rsid w:val="00C47A2D"/>
    <w:rsid w:val="00C511AA"/>
    <w:rsid w:val="00C51BD7"/>
    <w:rsid w:val="00C533C8"/>
    <w:rsid w:val="00C574D5"/>
    <w:rsid w:val="00C57CF0"/>
    <w:rsid w:val="00C62123"/>
    <w:rsid w:val="00C64170"/>
    <w:rsid w:val="00C67F0D"/>
    <w:rsid w:val="00C709BB"/>
    <w:rsid w:val="00C73934"/>
    <w:rsid w:val="00C73F32"/>
    <w:rsid w:val="00C74E45"/>
    <w:rsid w:val="00C7606C"/>
    <w:rsid w:val="00C765ED"/>
    <w:rsid w:val="00C818BD"/>
    <w:rsid w:val="00C8228A"/>
    <w:rsid w:val="00C830AE"/>
    <w:rsid w:val="00C8540A"/>
    <w:rsid w:val="00C85712"/>
    <w:rsid w:val="00C86509"/>
    <w:rsid w:val="00C868D6"/>
    <w:rsid w:val="00C87267"/>
    <w:rsid w:val="00C87462"/>
    <w:rsid w:val="00C96713"/>
    <w:rsid w:val="00C96A59"/>
    <w:rsid w:val="00CA180C"/>
    <w:rsid w:val="00CA3920"/>
    <w:rsid w:val="00CA5245"/>
    <w:rsid w:val="00CA5724"/>
    <w:rsid w:val="00CA5A8B"/>
    <w:rsid w:val="00CA5AA6"/>
    <w:rsid w:val="00CA6864"/>
    <w:rsid w:val="00CA7F82"/>
    <w:rsid w:val="00CB0A29"/>
    <w:rsid w:val="00CB22B2"/>
    <w:rsid w:val="00CB29F6"/>
    <w:rsid w:val="00CB44C5"/>
    <w:rsid w:val="00CB70A7"/>
    <w:rsid w:val="00CB74E5"/>
    <w:rsid w:val="00CC3077"/>
    <w:rsid w:val="00CC3EE2"/>
    <w:rsid w:val="00CC551F"/>
    <w:rsid w:val="00CC5FE0"/>
    <w:rsid w:val="00CC6812"/>
    <w:rsid w:val="00CC744B"/>
    <w:rsid w:val="00CD314F"/>
    <w:rsid w:val="00CD6079"/>
    <w:rsid w:val="00CD67B6"/>
    <w:rsid w:val="00CD7492"/>
    <w:rsid w:val="00CE3A6B"/>
    <w:rsid w:val="00CE61D2"/>
    <w:rsid w:val="00CE691F"/>
    <w:rsid w:val="00CF2447"/>
    <w:rsid w:val="00CF266E"/>
    <w:rsid w:val="00CF30CF"/>
    <w:rsid w:val="00CF5167"/>
    <w:rsid w:val="00D00211"/>
    <w:rsid w:val="00D011A5"/>
    <w:rsid w:val="00D0139B"/>
    <w:rsid w:val="00D05785"/>
    <w:rsid w:val="00D05D96"/>
    <w:rsid w:val="00D06309"/>
    <w:rsid w:val="00D10BA8"/>
    <w:rsid w:val="00D11C81"/>
    <w:rsid w:val="00D136D5"/>
    <w:rsid w:val="00D13ABE"/>
    <w:rsid w:val="00D143D9"/>
    <w:rsid w:val="00D15F2D"/>
    <w:rsid w:val="00D20CEF"/>
    <w:rsid w:val="00D257F1"/>
    <w:rsid w:val="00D34BCE"/>
    <w:rsid w:val="00D351EA"/>
    <w:rsid w:val="00D354F7"/>
    <w:rsid w:val="00D3586B"/>
    <w:rsid w:val="00D37631"/>
    <w:rsid w:val="00D37706"/>
    <w:rsid w:val="00D40178"/>
    <w:rsid w:val="00D40288"/>
    <w:rsid w:val="00D40CF6"/>
    <w:rsid w:val="00D412AF"/>
    <w:rsid w:val="00D43403"/>
    <w:rsid w:val="00D44CBB"/>
    <w:rsid w:val="00D47491"/>
    <w:rsid w:val="00D5270B"/>
    <w:rsid w:val="00D56A13"/>
    <w:rsid w:val="00D62E71"/>
    <w:rsid w:val="00D64227"/>
    <w:rsid w:val="00D6430D"/>
    <w:rsid w:val="00D65185"/>
    <w:rsid w:val="00D65DAE"/>
    <w:rsid w:val="00D66188"/>
    <w:rsid w:val="00D66358"/>
    <w:rsid w:val="00D666B8"/>
    <w:rsid w:val="00D701EA"/>
    <w:rsid w:val="00D71F0E"/>
    <w:rsid w:val="00D731F6"/>
    <w:rsid w:val="00D740CA"/>
    <w:rsid w:val="00D7461B"/>
    <w:rsid w:val="00D76ED2"/>
    <w:rsid w:val="00D81739"/>
    <w:rsid w:val="00D81C81"/>
    <w:rsid w:val="00D82764"/>
    <w:rsid w:val="00D83CFC"/>
    <w:rsid w:val="00D85728"/>
    <w:rsid w:val="00D903AE"/>
    <w:rsid w:val="00D91DCF"/>
    <w:rsid w:val="00D923E2"/>
    <w:rsid w:val="00D95481"/>
    <w:rsid w:val="00D9729F"/>
    <w:rsid w:val="00D97C5E"/>
    <w:rsid w:val="00DA0B45"/>
    <w:rsid w:val="00DA19E2"/>
    <w:rsid w:val="00DA33C9"/>
    <w:rsid w:val="00DA46A0"/>
    <w:rsid w:val="00DA550B"/>
    <w:rsid w:val="00DA7019"/>
    <w:rsid w:val="00DB3555"/>
    <w:rsid w:val="00DB4AE5"/>
    <w:rsid w:val="00DB507D"/>
    <w:rsid w:val="00DB519C"/>
    <w:rsid w:val="00DB5ED5"/>
    <w:rsid w:val="00DB7682"/>
    <w:rsid w:val="00DC2076"/>
    <w:rsid w:val="00DC2E4B"/>
    <w:rsid w:val="00DC7A13"/>
    <w:rsid w:val="00DD340E"/>
    <w:rsid w:val="00DD65A6"/>
    <w:rsid w:val="00DE0855"/>
    <w:rsid w:val="00DE4D19"/>
    <w:rsid w:val="00DE5379"/>
    <w:rsid w:val="00DE5A10"/>
    <w:rsid w:val="00DE60F4"/>
    <w:rsid w:val="00DE6260"/>
    <w:rsid w:val="00DE6F2C"/>
    <w:rsid w:val="00DE765C"/>
    <w:rsid w:val="00DF0EA1"/>
    <w:rsid w:val="00DF1779"/>
    <w:rsid w:val="00DF2997"/>
    <w:rsid w:val="00DF48B8"/>
    <w:rsid w:val="00DF4FC3"/>
    <w:rsid w:val="00E04BA9"/>
    <w:rsid w:val="00E06643"/>
    <w:rsid w:val="00E072C8"/>
    <w:rsid w:val="00E10BC4"/>
    <w:rsid w:val="00E11721"/>
    <w:rsid w:val="00E11C50"/>
    <w:rsid w:val="00E13C4D"/>
    <w:rsid w:val="00E1415D"/>
    <w:rsid w:val="00E1676D"/>
    <w:rsid w:val="00E179CD"/>
    <w:rsid w:val="00E2082A"/>
    <w:rsid w:val="00E25E73"/>
    <w:rsid w:val="00E319C6"/>
    <w:rsid w:val="00E323E9"/>
    <w:rsid w:val="00E328CE"/>
    <w:rsid w:val="00E34018"/>
    <w:rsid w:val="00E34871"/>
    <w:rsid w:val="00E353CA"/>
    <w:rsid w:val="00E356B1"/>
    <w:rsid w:val="00E35ADC"/>
    <w:rsid w:val="00E37C8B"/>
    <w:rsid w:val="00E41A1E"/>
    <w:rsid w:val="00E437D2"/>
    <w:rsid w:val="00E43BFF"/>
    <w:rsid w:val="00E468C8"/>
    <w:rsid w:val="00E54EBB"/>
    <w:rsid w:val="00E55751"/>
    <w:rsid w:val="00E55F66"/>
    <w:rsid w:val="00E55FE4"/>
    <w:rsid w:val="00E56D06"/>
    <w:rsid w:val="00E56D32"/>
    <w:rsid w:val="00E6302E"/>
    <w:rsid w:val="00E70D12"/>
    <w:rsid w:val="00E72911"/>
    <w:rsid w:val="00E72E21"/>
    <w:rsid w:val="00E73967"/>
    <w:rsid w:val="00E75276"/>
    <w:rsid w:val="00E813D0"/>
    <w:rsid w:val="00E8313C"/>
    <w:rsid w:val="00E84C7D"/>
    <w:rsid w:val="00E853F4"/>
    <w:rsid w:val="00E86323"/>
    <w:rsid w:val="00E91311"/>
    <w:rsid w:val="00E93B5D"/>
    <w:rsid w:val="00E947A0"/>
    <w:rsid w:val="00E971DE"/>
    <w:rsid w:val="00EA03EE"/>
    <w:rsid w:val="00EA0490"/>
    <w:rsid w:val="00EA2311"/>
    <w:rsid w:val="00EA31E1"/>
    <w:rsid w:val="00EA635E"/>
    <w:rsid w:val="00EA6C2F"/>
    <w:rsid w:val="00EA78FF"/>
    <w:rsid w:val="00EB0BBC"/>
    <w:rsid w:val="00EB0DE6"/>
    <w:rsid w:val="00EB34AA"/>
    <w:rsid w:val="00EB4CF5"/>
    <w:rsid w:val="00EB6B9E"/>
    <w:rsid w:val="00EC3A11"/>
    <w:rsid w:val="00EC3B06"/>
    <w:rsid w:val="00EC7BC3"/>
    <w:rsid w:val="00ED19A4"/>
    <w:rsid w:val="00ED2083"/>
    <w:rsid w:val="00ED478E"/>
    <w:rsid w:val="00ED57F2"/>
    <w:rsid w:val="00ED64D8"/>
    <w:rsid w:val="00ED7600"/>
    <w:rsid w:val="00EE21BA"/>
    <w:rsid w:val="00EE4CAD"/>
    <w:rsid w:val="00EE5FBE"/>
    <w:rsid w:val="00EE6297"/>
    <w:rsid w:val="00EF0220"/>
    <w:rsid w:val="00EF210B"/>
    <w:rsid w:val="00EF2A22"/>
    <w:rsid w:val="00EF4399"/>
    <w:rsid w:val="00EF4E8B"/>
    <w:rsid w:val="00EF6073"/>
    <w:rsid w:val="00EF698B"/>
    <w:rsid w:val="00EF77E6"/>
    <w:rsid w:val="00F01BD7"/>
    <w:rsid w:val="00F04A8D"/>
    <w:rsid w:val="00F04CF8"/>
    <w:rsid w:val="00F06F65"/>
    <w:rsid w:val="00F0768B"/>
    <w:rsid w:val="00F07722"/>
    <w:rsid w:val="00F10385"/>
    <w:rsid w:val="00F106FA"/>
    <w:rsid w:val="00F1115B"/>
    <w:rsid w:val="00F13237"/>
    <w:rsid w:val="00F1362C"/>
    <w:rsid w:val="00F202B7"/>
    <w:rsid w:val="00F2031E"/>
    <w:rsid w:val="00F24236"/>
    <w:rsid w:val="00F24DDD"/>
    <w:rsid w:val="00F308D9"/>
    <w:rsid w:val="00F33EB8"/>
    <w:rsid w:val="00F34CDB"/>
    <w:rsid w:val="00F37429"/>
    <w:rsid w:val="00F37BB5"/>
    <w:rsid w:val="00F40187"/>
    <w:rsid w:val="00F40D21"/>
    <w:rsid w:val="00F414F1"/>
    <w:rsid w:val="00F42D26"/>
    <w:rsid w:val="00F45334"/>
    <w:rsid w:val="00F459CD"/>
    <w:rsid w:val="00F45C12"/>
    <w:rsid w:val="00F46DE6"/>
    <w:rsid w:val="00F479B0"/>
    <w:rsid w:val="00F508B8"/>
    <w:rsid w:val="00F52086"/>
    <w:rsid w:val="00F5650B"/>
    <w:rsid w:val="00F57227"/>
    <w:rsid w:val="00F61955"/>
    <w:rsid w:val="00F621AB"/>
    <w:rsid w:val="00F63F32"/>
    <w:rsid w:val="00F70DA1"/>
    <w:rsid w:val="00F71675"/>
    <w:rsid w:val="00F716EA"/>
    <w:rsid w:val="00F71D65"/>
    <w:rsid w:val="00F72133"/>
    <w:rsid w:val="00F72394"/>
    <w:rsid w:val="00F72CB1"/>
    <w:rsid w:val="00F734CC"/>
    <w:rsid w:val="00F81256"/>
    <w:rsid w:val="00F82136"/>
    <w:rsid w:val="00F8215E"/>
    <w:rsid w:val="00F824F5"/>
    <w:rsid w:val="00F83301"/>
    <w:rsid w:val="00F84246"/>
    <w:rsid w:val="00F86F39"/>
    <w:rsid w:val="00F87306"/>
    <w:rsid w:val="00F87A07"/>
    <w:rsid w:val="00F90322"/>
    <w:rsid w:val="00F90FAB"/>
    <w:rsid w:val="00F90FDB"/>
    <w:rsid w:val="00F9374D"/>
    <w:rsid w:val="00F937AC"/>
    <w:rsid w:val="00F949F4"/>
    <w:rsid w:val="00F94E69"/>
    <w:rsid w:val="00F952C4"/>
    <w:rsid w:val="00F96EB8"/>
    <w:rsid w:val="00F97F37"/>
    <w:rsid w:val="00FA12AC"/>
    <w:rsid w:val="00FA2AF8"/>
    <w:rsid w:val="00FA78C2"/>
    <w:rsid w:val="00FB0407"/>
    <w:rsid w:val="00FB1CF7"/>
    <w:rsid w:val="00FB26F4"/>
    <w:rsid w:val="00FB42D6"/>
    <w:rsid w:val="00FC1AA9"/>
    <w:rsid w:val="00FC29B9"/>
    <w:rsid w:val="00FC3399"/>
    <w:rsid w:val="00FC3C2D"/>
    <w:rsid w:val="00FC656E"/>
    <w:rsid w:val="00FC65C2"/>
    <w:rsid w:val="00FC676A"/>
    <w:rsid w:val="00FC6FD3"/>
    <w:rsid w:val="00FC7321"/>
    <w:rsid w:val="00FD2005"/>
    <w:rsid w:val="00FD273E"/>
    <w:rsid w:val="00FD4F81"/>
    <w:rsid w:val="00FD5156"/>
    <w:rsid w:val="00FD583B"/>
    <w:rsid w:val="00FD61FF"/>
    <w:rsid w:val="00FD6E48"/>
    <w:rsid w:val="00FE1432"/>
    <w:rsid w:val="00FE305C"/>
    <w:rsid w:val="00FE5E76"/>
    <w:rsid w:val="00FF0301"/>
    <w:rsid w:val="00FF6FEB"/>
    <w:rsid w:val="00FF7CBC"/>
    <w:rsid w:val="2AC62AFC"/>
    <w:rsid w:val="525224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ED6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0CC"/>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ê¥¹¥È¶ÎÂä,¥¡¡¡¡ì¬º¥¹¥È¶ÎÂä,ÁÐ³ö¶ÎÂä,列表段落1,—ño’i—Ž,1st level - Bullet List Paragraph,Lettre d'introduction,Paragrafo elenco,Normal bullet 2,Bullet list,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ê¥¹¥È¶ÎÂä Char,¥¡¡¡¡ì¬º¥¹¥È¶ÎÂä Char,ÁÐ³ö¶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9815F4"/>
    <w:pPr>
      <w:tabs>
        <w:tab w:val="right" w:leader="dot" w:pos="9617"/>
      </w:tabs>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paragraph" w:customStyle="1" w:styleId="B1">
    <w:name w:val="B1"/>
    <w:basedOn w:val="List"/>
    <w:link w:val="B1Char"/>
    <w:rsid w:val="00664659"/>
    <w:pPr>
      <w:overflowPunct w:val="0"/>
      <w:autoSpaceDE w:val="0"/>
      <w:autoSpaceDN w:val="0"/>
      <w:adjustRightInd w:val="0"/>
      <w:spacing w:after="180" w:line="240" w:lineRule="auto"/>
      <w:ind w:left="568" w:hanging="284"/>
      <w:contextualSpacing w:val="0"/>
      <w:jc w:val="left"/>
      <w:textAlignment w:val="baseline"/>
    </w:pPr>
    <w:rPr>
      <w:rFonts w:eastAsia="Times New Roman" w:cs="Times New Roman"/>
      <w:szCs w:val="20"/>
      <w:lang w:val="en-GB" w:eastAsia="en-GB"/>
    </w:rPr>
  </w:style>
  <w:style w:type="character" w:customStyle="1" w:styleId="B1Char">
    <w:name w:val="B1 Char"/>
    <w:link w:val="B1"/>
    <w:qFormat/>
    <w:rsid w:val="00664659"/>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64659"/>
    <w:pPr>
      <w:ind w:left="283" w:hanging="283"/>
      <w:contextualSpacing/>
    </w:pPr>
  </w:style>
  <w:style w:type="paragraph" w:styleId="Header">
    <w:name w:val="header"/>
    <w:basedOn w:val="Normal"/>
    <w:link w:val="HeaderChar"/>
    <w:unhideWhenUsed/>
    <w:rsid w:val="00D82764"/>
    <w:pPr>
      <w:tabs>
        <w:tab w:val="center" w:pos="4513"/>
        <w:tab w:val="right" w:pos="9026"/>
      </w:tabs>
      <w:spacing w:after="0" w:line="240" w:lineRule="auto"/>
    </w:pPr>
  </w:style>
  <w:style w:type="character" w:customStyle="1" w:styleId="HeaderChar">
    <w:name w:val="Header Char"/>
    <w:basedOn w:val="DefaultParagraphFont"/>
    <w:link w:val="Header"/>
    <w:rsid w:val="00D82764"/>
    <w:rPr>
      <w:rFonts w:ascii="Times New Roman" w:hAnsi="Times New Roman"/>
      <w:sz w:val="20"/>
    </w:rPr>
  </w:style>
  <w:style w:type="paragraph" w:styleId="Footer">
    <w:name w:val="footer"/>
    <w:basedOn w:val="Normal"/>
    <w:link w:val="FooterChar"/>
    <w:uiPriority w:val="99"/>
    <w:unhideWhenUsed/>
    <w:rsid w:val="00D827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2764"/>
    <w:rPr>
      <w:rFonts w:ascii="Times New Roman" w:hAnsi="Times New Roman"/>
      <w:sz w:val="20"/>
    </w:rPr>
  </w:style>
  <w:style w:type="paragraph" w:styleId="Revision">
    <w:name w:val="Revision"/>
    <w:hidden/>
    <w:uiPriority w:val="99"/>
    <w:semiHidden/>
    <w:rsid w:val="00FB1CF7"/>
    <w:pPr>
      <w:spacing w:after="0" w:line="240" w:lineRule="auto"/>
    </w:pPr>
    <w:rPr>
      <w:rFonts w:ascii="Times New Roman" w:hAnsi="Times New Roman"/>
      <w:sz w:val="20"/>
    </w:rPr>
  </w:style>
  <w:style w:type="character" w:customStyle="1" w:styleId="B2Char">
    <w:name w:val="B2 Char"/>
    <w:link w:val="B2"/>
    <w:qFormat/>
    <w:locked/>
    <w:rsid w:val="002B384E"/>
    <w:rPr>
      <w:rFonts w:ascii="Times New Roman" w:eastAsia="Times New Roman" w:hAnsi="Times New Roman" w:cs="Times New Roman"/>
      <w:lang w:eastAsia="en-GB"/>
    </w:rPr>
  </w:style>
  <w:style w:type="paragraph" w:customStyle="1" w:styleId="B2">
    <w:name w:val="B2"/>
    <w:basedOn w:val="List2"/>
    <w:link w:val="B2Char"/>
    <w:rsid w:val="002B384E"/>
    <w:pPr>
      <w:overflowPunct w:val="0"/>
      <w:autoSpaceDE w:val="0"/>
      <w:autoSpaceDN w:val="0"/>
      <w:adjustRightInd w:val="0"/>
      <w:spacing w:after="180" w:line="240" w:lineRule="auto"/>
      <w:ind w:left="851" w:hanging="284"/>
      <w:contextualSpacing w:val="0"/>
      <w:jc w:val="left"/>
    </w:pPr>
    <w:rPr>
      <w:rFonts w:eastAsia="Times New Roman" w:cs="Times New Roman"/>
      <w:sz w:val="22"/>
      <w:lang w:eastAsia="en-GB"/>
    </w:rPr>
  </w:style>
  <w:style w:type="character" w:customStyle="1" w:styleId="B3Char">
    <w:name w:val="B3 Char"/>
    <w:link w:val="B3"/>
    <w:qFormat/>
    <w:locked/>
    <w:rsid w:val="002B384E"/>
    <w:rPr>
      <w:rFonts w:ascii="Times New Roman" w:eastAsia="Times New Roman" w:hAnsi="Times New Roman" w:cs="Times New Roman"/>
      <w:lang w:eastAsia="en-GB"/>
    </w:rPr>
  </w:style>
  <w:style w:type="paragraph" w:customStyle="1" w:styleId="B3">
    <w:name w:val="B3"/>
    <w:basedOn w:val="List3"/>
    <w:link w:val="B3Char"/>
    <w:rsid w:val="002B384E"/>
    <w:pPr>
      <w:overflowPunct w:val="0"/>
      <w:autoSpaceDE w:val="0"/>
      <w:autoSpaceDN w:val="0"/>
      <w:adjustRightInd w:val="0"/>
      <w:spacing w:after="180" w:line="240" w:lineRule="auto"/>
      <w:ind w:left="1135" w:hanging="284"/>
      <w:contextualSpacing w:val="0"/>
      <w:jc w:val="left"/>
    </w:pPr>
    <w:rPr>
      <w:rFonts w:eastAsia="Times New Roman" w:cs="Times New Roman"/>
      <w:sz w:val="22"/>
      <w:lang w:eastAsia="en-GB"/>
    </w:rPr>
  </w:style>
  <w:style w:type="paragraph" w:styleId="List2">
    <w:name w:val="List 2"/>
    <w:basedOn w:val="Normal"/>
    <w:uiPriority w:val="99"/>
    <w:semiHidden/>
    <w:unhideWhenUsed/>
    <w:rsid w:val="002B384E"/>
    <w:pPr>
      <w:ind w:left="566" w:hanging="283"/>
      <w:contextualSpacing/>
    </w:pPr>
  </w:style>
  <w:style w:type="paragraph" w:styleId="List3">
    <w:name w:val="List 3"/>
    <w:basedOn w:val="Normal"/>
    <w:uiPriority w:val="99"/>
    <w:semiHidden/>
    <w:unhideWhenUsed/>
    <w:rsid w:val="002B384E"/>
    <w:pPr>
      <w:ind w:left="849" w:hanging="283"/>
      <w:contextualSpacing/>
    </w:pPr>
  </w:style>
  <w:style w:type="character" w:styleId="Mention">
    <w:name w:val="Mention"/>
    <w:basedOn w:val="DefaultParagraphFont"/>
    <w:uiPriority w:val="99"/>
    <w:unhideWhenUsed/>
    <w:rsid w:val="00B26BA8"/>
    <w:rPr>
      <w:color w:val="2B579A"/>
      <w:shd w:val="clear" w:color="auto" w:fill="E1DFDD"/>
    </w:rPr>
  </w:style>
  <w:style w:type="character" w:customStyle="1" w:styleId="ui-provider">
    <w:name w:val="ui-provider"/>
    <w:basedOn w:val="DefaultParagraphFont"/>
    <w:rsid w:val="00F07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221">
      <w:bodyDiv w:val="1"/>
      <w:marLeft w:val="0"/>
      <w:marRight w:val="0"/>
      <w:marTop w:val="0"/>
      <w:marBottom w:val="0"/>
      <w:divBdr>
        <w:top w:val="none" w:sz="0" w:space="0" w:color="auto"/>
        <w:left w:val="none" w:sz="0" w:space="0" w:color="auto"/>
        <w:bottom w:val="none" w:sz="0" w:space="0" w:color="auto"/>
        <w:right w:val="none" w:sz="0" w:space="0" w:color="auto"/>
      </w:divBdr>
    </w:div>
    <w:div w:id="177425895">
      <w:bodyDiv w:val="1"/>
      <w:marLeft w:val="0"/>
      <w:marRight w:val="0"/>
      <w:marTop w:val="0"/>
      <w:marBottom w:val="0"/>
      <w:divBdr>
        <w:top w:val="none" w:sz="0" w:space="0" w:color="auto"/>
        <w:left w:val="none" w:sz="0" w:space="0" w:color="auto"/>
        <w:bottom w:val="none" w:sz="0" w:space="0" w:color="auto"/>
        <w:right w:val="none" w:sz="0" w:space="0" w:color="auto"/>
      </w:divBdr>
    </w:div>
    <w:div w:id="199826790">
      <w:bodyDiv w:val="1"/>
      <w:marLeft w:val="0"/>
      <w:marRight w:val="0"/>
      <w:marTop w:val="0"/>
      <w:marBottom w:val="0"/>
      <w:divBdr>
        <w:top w:val="none" w:sz="0" w:space="0" w:color="auto"/>
        <w:left w:val="none" w:sz="0" w:space="0" w:color="auto"/>
        <w:bottom w:val="none" w:sz="0" w:space="0" w:color="auto"/>
        <w:right w:val="none" w:sz="0" w:space="0" w:color="auto"/>
      </w:divBdr>
    </w:div>
    <w:div w:id="324866110">
      <w:bodyDiv w:val="1"/>
      <w:marLeft w:val="0"/>
      <w:marRight w:val="0"/>
      <w:marTop w:val="0"/>
      <w:marBottom w:val="0"/>
      <w:divBdr>
        <w:top w:val="none" w:sz="0" w:space="0" w:color="auto"/>
        <w:left w:val="none" w:sz="0" w:space="0" w:color="auto"/>
        <w:bottom w:val="none" w:sz="0" w:space="0" w:color="auto"/>
        <w:right w:val="none" w:sz="0" w:space="0" w:color="auto"/>
      </w:divBdr>
    </w:div>
    <w:div w:id="425658666">
      <w:bodyDiv w:val="1"/>
      <w:marLeft w:val="0"/>
      <w:marRight w:val="0"/>
      <w:marTop w:val="0"/>
      <w:marBottom w:val="0"/>
      <w:divBdr>
        <w:top w:val="none" w:sz="0" w:space="0" w:color="auto"/>
        <w:left w:val="none" w:sz="0" w:space="0" w:color="auto"/>
        <w:bottom w:val="none" w:sz="0" w:space="0" w:color="auto"/>
        <w:right w:val="none" w:sz="0" w:space="0" w:color="auto"/>
      </w:divBdr>
    </w:div>
    <w:div w:id="456527482">
      <w:bodyDiv w:val="1"/>
      <w:marLeft w:val="0"/>
      <w:marRight w:val="0"/>
      <w:marTop w:val="0"/>
      <w:marBottom w:val="0"/>
      <w:divBdr>
        <w:top w:val="none" w:sz="0" w:space="0" w:color="auto"/>
        <w:left w:val="none" w:sz="0" w:space="0" w:color="auto"/>
        <w:bottom w:val="none" w:sz="0" w:space="0" w:color="auto"/>
        <w:right w:val="none" w:sz="0" w:space="0" w:color="auto"/>
      </w:divBdr>
    </w:div>
    <w:div w:id="502740673">
      <w:bodyDiv w:val="1"/>
      <w:marLeft w:val="0"/>
      <w:marRight w:val="0"/>
      <w:marTop w:val="0"/>
      <w:marBottom w:val="0"/>
      <w:divBdr>
        <w:top w:val="none" w:sz="0" w:space="0" w:color="auto"/>
        <w:left w:val="none" w:sz="0" w:space="0" w:color="auto"/>
        <w:bottom w:val="none" w:sz="0" w:space="0" w:color="auto"/>
        <w:right w:val="none" w:sz="0" w:space="0" w:color="auto"/>
      </w:divBdr>
    </w:div>
    <w:div w:id="503595121">
      <w:bodyDiv w:val="1"/>
      <w:marLeft w:val="0"/>
      <w:marRight w:val="0"/>
      <w:marTop w:val="0"/>
      <w:marBottom w:val="0"/>
      <w:divBdr>
        <w:top w:val="none" w:sz="0" w:space="0" w:color="auto"/>
        <w:left w:val="none" w:sz="0" w:space="0" w:color="auto"/>
        <w:bottom w:val="none" w:sz="0" w:space="0" w:color="auto"/>
        <w:right w:val="none" w:sz="0" w:space="0" w:color="auto"/>
      </w:divBdr>
    </w:div>
    <w:div w:id="521865706">
      <w:bodyDiv w:val="1"/>
      <w:marLeft w:val="0"/>
      <w:marRight w:val="0"/>
      <w:marTop w:val="0"/>
      <w:marBottom w:val="0"/>
      <w:divBdr>
        <w:top w:val="none" w:sz="0" w:space="0" w:color="auto"/>
        <w:left w:val="none" w:sz="0" w:space="0" w:color="auto"/>
        <w:bottom w:val="none" w:sz="0" w:space="0" w:color="auto"/>
        <w:right w:val="none" w:sz="0" w:space="0" w:color="auto"/>
      </w:divBdr>
    </w:div>
    <w:div w:id="616837961">
      <w:bodyDiv w:val="1"/>
      <w:marLeft w:val="0"/>
      <w:marRight w:val="0"/>
      <w:marTop w:val="0"/>
      <w:marBottom w:val="0"/>
      <w:divBdr>
        <w:top w:val="none" w:sz="0" w:space="0" w:color="auto"/>
        <w:left w:val="none" w:sz="0" w:space="0" w:color="auto"/>
        <w:bottom w:val="none" w:sz="0" w:space="0" w:color="auto"/>
        <w:right w:val="none" w:sz="0" w:space="0" w:color="auto"/>
      </w:divBdr>
    </w:div>
    <w:div w:id="664434348">
      <w:bodyDiv w:val="1"/>
      <w:marLeft w:val="0"/>
      <w:marRight w:val="0"/>
      <w:marTop w:val="0"/>
      <w:marBottom w:val="0"/>
      <w:divBdr>
        <w:top w:val="none" w:sz="0" w:space="0" w:color="auto"/>
        <w:left w:val="none" w:sz="0" w:space="0" w:color="auto"/>
        <w:bottom w:val="none" w:sz="0" w:space="0" w:color="auto"/>
        <w:right w:val="none" w:sz="0" w:space="0" w:color="auto"/>
      </w:divBdr>
    </w:div>
    <w:div w:id="712002457">
      <w:bodyDiv w:val="1"/>
      <w:marLeft w:val="0"/>
      <w:marRight w:val="0"/>
      <w:marTop w:val="0"/>
      <w:marBottom w:val="0"/>
      <w:divBdr>
        <w:top w:val="none" w:sz="0" w:space="0" w:color="auto"/>
        <w:left w:val="none" w:sz="0" w:space="0" w:color="auto"/>
        <w:bottom w:val="none" w:sz="0" w:space="0" w:color="auto"/>
        <w:right w:val="none" w:sz="0" w:space="0" w:color="auto"/>
      </w:divBdr>
    </w:div>
    <w:div w:id="735512284">
      <w:bodyDiv w:val="1"/>
      <w:marLeft w:val="0"/>
      <w:marRight w:val="0"/>
      <w:marTop w:val="0"/>
      <w:marBottom w:val="0"/>
      <w:divBdr>
        <w:top w:val="none" w:sz="0" w:space="0" w:color="auto"/>
        <w:left w:val="none" w:sz="0" w:space="0" w:color="auto"/>
        <w:bottom w:val="none" w:sz="0" w:space="0" w:color="auto"/>
        <w:right w:val="none" w:sz="0" w:space="0" w:color="auto"/>
      </w:divBdr>
    </w:div>
    <w:div w:id="753354969">
      <w:bodyDiv w:val="1"/>
      <w:marLeft w:val="0"/>
      <w:marRight w:val="0"/>
      <w:marTop w:val="0"/>
      <w:marBottom w:val="0"/>
      <w:divBdr>
        <w:top w:val="none" w:sz="0" w:space="0" w:color="auto"/>
        <w:left w:val="none" w:sz="0" w:space="0" w:color="auto"/>
        <w:bottom w:val="none" w:sz="0" w:space="0" w:color="auto"/>
        <w:right w:val="none" w:sz="0" w:space="0" w:color="auto"/>
      </w:divBdr>
      <w:divsChild>
        <w:div w:id="1796024061">
          <w:marLeft w:val="0"/>
          <w:marRight w:val="0"/>
          <w:marTop w:val="0"/>
          <w:marBottom w:val="0"/>
          <w:divBdr>
            <w:top w:val="none" w:sz="0" w:space="0" w:color="auto"/>
            <w:left w:val="none" w:sz="0" w:space="0" w:color="auto"/>
            <w:bottom w:val="none" w:sz="0" w:space="0" w:color="auto"/>
            <w:right w:val="none" w:sz="0" w:space="0" w:color="auto"/>
          </w:divBdr>
        </w:div>
      </w:divsChild>
    </w:div>
    <w:div w:id="761339167">
      <w:bodyDiv w:val="1"/>
      <w:marLeft w:val="0"/>
      <w:marRight w:val="0"/>
      <w:marTop w:val="0"/>
      <w:marBottom w:val="0"/>
      <w:divBdr>
        <w:top w:val="none" w:sz="0" w:space="0" w:color="auto"/>
        <w:left w:val="none" w:sz="0" w:space="0" w:color="auto"/>
        <w:bottom w:val="none" w:sz="0" w:space="0" w:color="auto"/>
        <w:right w:val="none" w:sz="0" w:space="0" w:color="auto"/>
      </w:divBdr>
    </w:div>
    <w:div w:id="766541582">
      <w:bodyDiv w:val="1"/>
      <w:marLeft w:val="0"/>
      <w:marRight w:val="0"/>
      <w:marTop w:val="0"/>
      <w:marBottom w:val="0"/>
      <w:divBdr>
        <w:top w:val="none" w:sz="0" w:space="0" w:color="auto"/>
        <w:left w:val="none" w:sz="0" w:space="0" w:color="auto"/>
        <w:bottom w:val="none" w:sz="0" w:space="0" w:color="auto"/>
        <w:right w:val="none" w:sz="0" w:space="0" w:color="auto"/>
      </w:divBdr>
    </w:div>
    <w:div w:id="798375677">
      <w:bodyDiv w:val="1"/>
      <w:marLeft w:val="0"/>
      <w:marRight w:val="0"/>
      <w:marTop w:val="0"/>
      <w:marBottom w:val="0"/>
      <w:divBdr>
        <w:top w:val="none" w:sz="0" w:space="0" w:color="auto"/>
        <w:left w:val="none" w:sz="0" w:space="0" w:color="auto"/>
        <w:bottom w:val="none" w:sz="0" w:space="0" w:color="auto"/>
        <w:right w:val="none" w:sz="0" w:space="0" w:color="auto"/>
      </w:divBdr>
    </w:div>
    <w:div w:id="878391864">
      <w:bodyDiv w:val="1"/>
      <w:marLeft w:val="0"/>
      <w:marRight w:val="0"/>
      <w:marTop w:val="0"/>
      <w:marBottom w:val="0"/>
      <w:divBdr>
        <w:top w:val="none" w:sz="0" w:space="0" w:color="auto"/>
        <w:left w:val="none" w:sz="0" w:space="0" w:color="auto"/>
        <w:bottom w:val="none" w:sz="0" w:space="0" w:color="auto"/>
        <w:right w:val="none" w:sz="0" w:space="0" w:color="auto"/>
      </w:divBdr>
    </w:div>
    <w:div w:id="955794217">
      <w:bodyDiv w:val="1"/>
      <w:marLeft w:val="0"/>
      <w:marRight w:val="0"/>
      <w:marTop w:val="0"/>
      <w:marBottom w:val="0"/>
      <w:divBdr>
        <w:top w:val="none" w:sz="0" w:space="0" w:color="auto"/>
        <w:left w:val="none" w:sz="0" w:space="0" w:color="auto"/>
        <w:bottom w:val="none" w:sz="0" w:space="0" w:color="auto"/>
        <w:right w:val="none" w:sz="0" w:space="0" w:color="auto"/>
      </w:divBdr>
      <w:divsChild>
        <w:div w:id="1947468218">
          <w:marLeft w:val="0"/>
          <w:marRight w:val="0"/>
          <w:marTop w:val="0"/>
          <w:marBottom w:val="0"/>
          <w:divBdr>
            <w:top w:val="none" w:sz="0" w:space="0" w:color="auto"/>
            <w:left w:val="none" w:sz="0" w:space="0" w:color="auto"/>
            <w:bottom w:val="none" w:sz="0" w:space="0" w:color="auto"/>
            <w:right w:val="none" w:sz="0" w:space="0" w:color="auto"/>
          </w:divBdr>
        </w:div>
      </w:divsChild>
    </w:div>
    <w:div w:id="1109006148">
      <w:bodyDiv w:val="1"/>
      <w:marLeft w:val="0"/>
      <w:marRight w:val="0"/>
      <w:marTop w:val="0"/>
      <w:marBottom w:val="0"/>
      <w:divBdr>
        <w:top w:val="none" w:sz="0" w:space="0" w:color="auto"/>
        <w:left w:val="none" w:sz="0" w:space="0" w:color="auto"/>
        <w:bottom w:val="none" w:sz="0" w:space="0" w:color="auto"/>
        <w:right w:val="none" w:sz="0" w:space="0" w:color="auto"/>
      </w:divBdr>
    </w:div>
    <w:div w:id="1114984955">
      <w:bodyDiv w:val="1"/>
      <w:marLeft w:val="0"/>
      <w:marRight w:val="0"/>
      <w:marTop w:val="0"/>
      <w:marBottom w:val="0"/>
      <w:divBdr>
        <w:top w:val="none" w:sz="0" w:space="0" w:color="auto"/>
        <w:left w:val="none" w:sz="0" w:space="0" w:color="auto"/>
        <w:bottom w:val="none" w:sz="0" w:space="0" w:color="auto"/>
        <w:right w:val="none" w:sz="0" w:space="0" w:color="auto"/>
      </w:divBdr>
    </w:div>
    <w:div w:id="1116755265">
      <w:bodyDiv w:val="1"/>
      <w:marLeft w:val="0"/>
      <w:marRight w:val="0"/>
      <w:marTop w:val="0"/>
      <w:marBottom w:val="0"/>
      <w:divBdr>
        <w:top w:val="none" w:sz="0" w:space="0" w:color="auto"/>
        <w:left w:val="none" w:sz="0" w:space="0" w:color="auto"/>
        <w:bottom w:val="none" w:sz="0" w:space="0" w:color="auto"/>
        <w:right w:val="none" w:sz="0" w:space="0" w:color="auto"/>
      </w:divBdr>
    </w:div>
    <w:div w:id="1147094079">
      <w:bodyDiv w:val="1"/>
      <w:marLeft w:val="0"/>
      <w:marRight w:val="0"/>
      <w:marTop w:val="0"/>
      <w:marBottom w:val="0"/>
      <w:divBdr>
        <w:top w:val="none" w:sz="0" w:space="0" w:color="auto"/>
        <w:left w:val="none" w:sz="0" w:space="0" w:color="auto"/>
        <w:bottom w:val="none" w:sz="0" w:space="0" w:color="auto"/>
        <w:right w:val="none" w:sz="0" w:space="0" w:color="auto"/>
      </w:divBdr>
    </w:div>
    <w:div w:id="1432821566">
      <w:bodyDiv w:val="1"/>
      <w:marLeft w:val="0"/>
      <w:marRight w:val="0"/>
      <w:marTop w:val="0"/>
      <w:marBottom w:val="0"/>
      <w:divBdr>
        <w:top w:val="none" w:sz="0" w:space="0" w:color="auto"/>
        <w:left w:val="none" w:sz="0" w:space="0" w:color="auto"/>
        <w:bottom w:val="none" w:sz="0" w:space="0" w:color="auto"/>
        <w:right w:val="none" w:sz="0" w:space="0" w:color="auto"/>
      </w:divBdr>
    </w:div>
    <w:div w:id="1467355417">
      <w:bodyDiv w:val="1"/>
      <w:marLeft w:val="0"/>
      <w:marRight w:val="0"/>
      <w:marTop w:val="0"/>
      <w:marBottom w:val="0"/>
      <w:divBdr>
        <w:top w:val="none" w:sz="0" w:space="0" w:color="auto"/>
        <w:left w:val="none" w:sz="0" w:space="0" w:color="auto"/>
        <w:bottom w:val="none" w:sz="0" w:space="0" w:color="auto"/>
        <w:right w:val="none" w:sz="0" w:space="0" w:color="auto"/>
      </w:divBdr>
    </w:div>
    <w:div w:id="1520268483">
      <w:bodyDiv w:val="1"/>
      <w:marLeft w:val="0"/>
      <w:marRight w:val="0"/>
      <w:marTop w:val="0"/>
      <w:marBottom w:val="0"/>
      <w:divBdr>
        <w:top w:val="none" w:sz="0" w:space="0" w:color="auto"/>
        <w:left w:val="none" w:sz="0" w:space="0" w:color="auto"/>
        <w:bottom w:val="none" w:sz="0" w:space="0" w:color="auto"/>
        <w:right w:val="none" w:sz="0" w:space="0" w:color="auto"/>
      </w:divBdr>
    </w:div>
    <w:div w:id="1585608648">
      <w:bodyDiv w:val="1"/>
      <w:marLeft w:val="0"/>
      <w:marRight w:val="0"/>
      <w:marTop w:val="0"/>
      <w:marBottom w:val="0"/>
      <w:divBdr>
        <w:top w:val="none" w:sz="0" w:space="0" w:color="auto"/>
        <w:left w:val="none" w:sz="0" w:space="0" w:color="auto"/>
        <w:bottom w:val="none" w:sz="0" w:space="0" w:color="auto"/>
        <w:right w:val="none" w:sz="0" w:space="0" w:color="auto"/>
      </w:divBdr>
    </w:div>
    <w:div w:id="1624651665">
      <w:bodyDiv w:val="1"/>
      <w:marLeft w:val="0"/>
      <w:marRight w:val="0"/>
      <w:marTop w:val="0"/>
      <w:marBottom w:val="0"/>
      <w:divBdr>
        <w:top w:val="none" w:sz="0" w:space="0" w:color="auto"/>
        <w:left w:val="none" w:sz="0" w:space="0" w:color="auto"/>
        <w:bottom w:val="none" w:sz="0" w:space="0" w:color="auto"/>
        <w:right w:val="none" w:sz="0" w:space="0" w:color="auto"/>
      </w:divBdr>
    </w:div>
    <w:div w:id="1662735262">
      <w:bodyDiv w:val="1"/>
      <w:marLeft w:val="0"/>
      <w:marRight w:val="0"/>
      <w:marTop w:val="0"/>
      <w:marBottom w:val="0"/>
      <w:divBdr>
        <w:top w:val="none" w:sz="0" w:space="0" w:color="auto"/>
        <w:left w:val="none" w:sz="0" w:space="0" w:color="auto"/>
        <w:bottom w:val="none" w:sz="0" w:space="0" w:color="auto"/>
        <w:right w:val="none" w:sz="0" w:space="0" w:color="auto"/>
      </w:divBdr>
    </w:div>
    <w:div w:id="1688677017">
      <w:bodyDiv w:val="1"/>
      <w:marLeft w:val="0"/>
      <w:marRight w:val="0"/>
      <w:marTop w:val="0"/>
      <w:marBottom w:val="0"/>
      <w:divBdr>
        <w:top w:val="none" w:sz="0" w:space="0" w:color="auto"/>
        <w:left w:val="none" w:sz="0" w:space="0" w:color="auto"/>
        <w:bottom w:val="none" w:sz="0" w:space="0" w:color="auto"/>
        <w:right w:val="none" w:sz="0" w:space="0" w:color="auto"/>
      </w:divBdr>
    </w:div>
    <w:div w:id="1801613195">
      <w:bodyDiv w:val="1"/>
      <w:marLeft w:val="0"/>
      <w:marRight w:val="0"/>
      <w:marTop w:val="0"/>
      <w:marBottom w:val="0"/>
      <w:divBdr>
        <w:top w:val="none" w:sz="0" w:space="0" w:color="auto"/>
        <w:left w:val="none" w:sz="0" w:space="0" w:color="auto"/>
        <w:bottom w:val="none" w:sz="0" w:space="0" w:color="auto"/>
        <w:right w:val="none" w:sz="0" w:space="0" w:color="auto"/>
      </w:divBdr>
      <w:divsChild>
        <w:div w:id="24408330">
          <w:marLeft w:val="0"/>
          <w:marRight w:val="0"/>
          <w:marTop w:val="0"/>
          <w:marBottom w:val="0"/>
          <w:divBdr>
            <w:top w:val="none" w:sz="0" w:space="0" w:color="auto"/>
            <w:left w:val="none" w:sz="0" w:space="0" w:color="auto"/>
            <w:bottom w:val="none" w:sz="0" w:space="0" w:color="auto"/>
            <w:right w:val="none" w:sz="0" w:space="0" w:color="auto"/>
          </w:divBdr>
        </w:div>
      </w:divsChild>
    </w:div>
    <w:div w:id="1867593944">
      <w:bodyDiv w:val="1"/>
      <w:marLeft w:val="0"/>
      <w:marRight w:val="0"/>
      <w:marTop w:val="0"/>
      <w:marBottom w:val="0"/>
      <w:divBdr>
        <w:top w:val="none" w:sz="0" w:space="0" w:color="auto"/>
        <w:left w:val="none" w:sz="0" w:space="0" w:color="auto"/>
        <w:bottom w:val="none" w:sz="0" w:space="0" w:color="auto"/>
        <w:right w:val="none" w:sz="0" w:space="0" w:color="auto"/>
      </w:divBdr>
    </w:div>
    <w:div w:id="1991325114">
      <w:bodyDiv w:val="1"/>
      <w:marLeft w:val="0"/>
      <w:marRight w:val="0"/>
      <w:marTop w:val="0"/>
      <w:marBottom w:val="0"/>
      <w:divBdr>
        <w:top w:val="none" w:sz="0" w:space="0" w:color="auto"/>
        <w:left w:val="none" w:sz="0" w:space="0" w:color="auto"/>
        <w:bottom w:val="none" w:sz="0" w:space="0" w:color="auto"/>
        <w:right w:val="none" w:sz="0" w:space="0" w:color="auto"/>
      </w:divBdr>
    </w:div>
    <w:div w:id="2004358436">
      <w:bodyDiv w:val="1"/>
      <w:marLeft w:val="0"/>
      <w:marRight w:val="0"/>
      <w:marTop w:val="0"/>
      <w:marBottom w:val="0"/>
      <w:divBdr>
        <w:top w:val="none" w:sz="0" w:space="0" w:color="auto"/>
        <w:left w:val="none" w:sz="0" w:space="0" w:color="auto"/>
        <w:bottom w:val="none" w:sz="0" w:space="0" w:color="auto"/>
        <w:right w:val="none" w:sz="0" w:space="0" w:color="auto"/>
      </w:divBdr>
    </w:div>
    <w:div w:id="2022968125">
      <w:bodyDiv w:val="1"/>
      <w:marLeft w:val="0"/>
      <w:marRight w:val="0"/>
      <w:marTop w:val="0"/>
      <w:marBottom w:val="0"/>
      <w:divBdr>
        <w:top w:val="none" w:sz="0" w:space="0" w:color="auto"/>
        <w:left w:val="none" w:sz="0" w:space="0" w:color="auto"/>
        <w:bottom w:val="none" w:sz="0" w:space="0" w:color="auto"/>
        <w:right w:val="none" w:sz="0" w:space="0" w:color="auto"/>
      </w:divBdr>
    </w:div>
    <w:div w:id="213000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5AIRPNAIUNRU-1328258698-27940</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https://nokia.sharepoint.com/sites/c5g/5gradio/_layouts/15/DocIdRedir.aspx?ID=5AIRPNAIUNRU-1328258698-27940</Url>
      <Description>5AIRPNAIUNRU-1328258698-27940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29EE8C9-F6D3-4CEB-B8E7-4DC51E807483}">
  <ds:schemaRefs>
    <ds:schemaRef ds:uri="http://schemas.microsoft.com/office/infopath/2007/PartnerControls"/>
    <ds:schemaRef ds:uri="0b6aed8e-0313-4d17-80ff-d0e5da4931c5"/>
    <ds:schemaRef ds:uri="http://schemas.microsoft.com/office/2006/documentManagement/types"/>
    <ds:schemaRef ds:uri="http://purl.org/dc/dcmitype/"/>
    <ds:schemaRef ds:uri="http://www.w3.org/XML/1998/namespace"/>
    <ds:schemaRef ds:uri="71c5aaf6-e6ce-465b-b873-5148d2a4c105"/>
    <ds:schemaRef ds:uri="http://schemas.openxmlformats.org/package/2006/metadata/core-properties"/>
    <ds:schemaRef ds:uri="http://purl.org/dc/elements/1.1/"/>
    <ds:schemaRef ds:uri="3b34c8f0-1ef5-4d1e-bb66-517ce7fe7356"/>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2575ECA5-C0BC-4F67-A63B-36FF044BF93B}">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5A0383B-ED4D-40D2-B838-3DCE0E588029}">
  <ds:schemaRefs>
    <ds:schemaRef ds:uri="http://schemas.microsoft.com/sharepoint/v3/contenttype/forms"/>
  </ds:schemaRefs>
</ds:datastoreItem>
</file>

<file path=customXml/itemProps5.xml><?xml version="1.0" encoding="utf-8"?>
<ds:datastoreItem xmlns:ds="http://schemas.openxmlformats.org/officeDocument/2006/customXml" ds:itemID="{14514913-0810-4E61-B3C2-D3BD2EA67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E38FEE-3E59-46A5-93D0-B99E23087D75}">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3887</Words>
  <Characters>22159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25995</CharactersWithSpaces>
  <SharedDoc>false</SharedDoc>
  <HLinks>
    <vt:vector size="90" baseType="variant">
      <vt:variant>
        <vt:i4>1703998</vt:i4>
      </vt:variant>
      <vt:variant>
        <vt:i4>47</vt:i4>
      </vt:variant>
      <vt:variant>
        <vt:i4>0</vt:i4>
      </vt:variant>
      <vt:variant>
        <vt:i4>5</vt:i4>
      </vt:variant>
      <vt:variant>
        <vt:lpwstr/>
      </vt:variant>
      <vt:variant>
        <vt:lpwstr>_Toc149569051</vt:lpwstr>
      </vt:variant>
      <vt:variant>
        <vt:i4>1703998</vt:i4>
      </vt:variant>
      <vt:variant>
        <vt:i4>44</vt:i4>
      </vt:variant>
      <vt:variant>
        <vt:i4>0</vt:i4>
      </vt:variant>
      <vt:variant>
        <vt:i4>5</vt:i4>
      </vt:variant>
      <vt:variant>
        <vt:lpwstr/>
      </vt:variant>
      <vt:variant>
        <vt:lpwstr>_Toc149569050</vt:lpwstr>
      </vt:variant>
      <vt:variant>
        <vt:i4>1769534</vt:i4>
      </vt:variant>
      <vt:variant>
        <vt:i4>41</vt:i4>
      </vt:variant>
      <vt:variant>
        <vt:i4>0</vt:i4>
      </vt:variant>
      <vt:variant>
        <vt:i4>5</vt:i4>
      </vt:variant>
      <vt:variant>
        <vt:lpwstr/>
      </vt:variant>
      <vt:variant>
        <vt:lpwstr>_Toc149569049</vt:lpwstr>
      </vt:variant>
      <vt:variant>
        <vt:i4>1769534</vt:i4>
      </vt:variant>
      <vt:variant>
        <vt:i4>38</vt:i4>
      </vt:variant>
      <vt:variant>
        <vt:i4>0</vt:i4>
      </vt:variant>
      <vt:variant>
        <vt:i4>5</vt:i4>
      </vt:variant>
      <vt:variant>
        <vt:lpwstr/>
      </vt:variant>
      <vt:variant>
        <vt:lpwstr>_Toc149569048</vt:lpwstr>
      </vt:variant>
      <vt:variant>
        <vt:i4>1769534</vt:i4>
      </vt:variant>
      <vt:variant>
        <vt:i4>35</vt:i4>
      </vt:variant>
      <vt:variant>
        <vt:i4>0</vt:i4>
      </vt:variant>
      <vt:variant>
        <vt:i4>5</vt:i4>
      </vt:variant>
      <vt:variant>
        <vt:lpwstr/>
      </vt:variant>
      <vt:variant>
        <vt:lpwstr>_Toc149569047</vt:lpwstr>
      </vt:variant>
      <vt:variant>
        <vt:i4>1769534</vt:i4>
      </vt:variant>
      <vt:variant>
        <vt:i4>32</vt:i4>
      </vt:variant>
      <vt:variant>
        <vt:i4>0</vt:i4>
      </vt:variant>
      <vt:variant>
        <vt:i4>5</vt:i4>
      </vt:variant>
      <vt:variant>
        <vt:lpwstr/>
      </vt:variant>
      <vt:variant>
        <vt:lpwstr>_Toc149569046</vt:lpwstr>
      </vt:variant>
      <vt:variant>
        <vt:i4>1769534</vt:i4>
      </vt:variant>
      <vt:variant>
        <vt:i4>29</vt:i4>
      </vt:variant>
      <vt:variant>
        <vt:i4>0</vt:i4>
      </vt:variant>
      <vt:variant>
        <vt:i4>5</vt:i4>
      </vt:variant>
      <vt:variant>
        <vt:lpwstr/>
      </vt:variant>
      <vt:variant>
        <vt:lpwstr>_Toc149569045</vt:lpwstr>
      </vt:variant>
      <vt:variant>
        <vt:i4>1769534</vt:i4>
      </vt:variant>
      <vt:variant>
        <vt:i4>26</vt:i4>
      </vt:variant>
      <vt:variant>
        <vt:i4>0</vt:i4>
      </vt:variant>
      <vt:variant>
        <vt:i4>5</vt:i4>
      </vt:variant>
      <vt:variant>
        <vt:lpwstr/>
      </vt:variant>
      <vt:variant>
        <vt:lpwstr>_Toc149569044</vt:lpwstr>
      </vt:variant>
      <vt:variant>
        <vt:i4>1769534</vt:i4>
      </vt:variant>
      <vt:variant>
        <vt:i4>23</vt:i4>
      </vt:variant>
      <vt:variant>
        <vt:i4>0</vt:i4>
      </vt:variant>
      <vt:variant>
        <vt:i4>5</vt:i4>
      </vt:variant>
      <vt:variant>
        <vt:lpwstr/>
      </vt:variant>
      <vt:variant>
        <vt:lpwstr>_Toc149569043</vt:lpwstr>
      </vt:variant>
      <vt:variant>
        <vt:i4>1769534</vt:i4>
      </vt:variant>
      <vt:variant>
        <vt:i4>20</vt:i4>
      </vt:variant>
      <vt:variant>
        <vt:i4>0</vt:i4>
      </vt:variant>
      <vt:variant>
        <vt:i4>5</vt:i4>
      </vt:variant>
      <vt:variant>
        <vt:lpwstr/>
      </vt:variant>
      <vt:variant>
        <vt:lpwstr>_Toc149569042</vt:lpwstr>
      </vt:variant>
      <vt:variant>
        <vt:i4>1769534</vt:i4>
      </vt:variant>
      <vt:variant>
        <vt:i4>17</vt:i4>
      </vt:variant>
      <vt:variant>
        <vt:i4>0</vt:i4>
      </vt:variant>
      <vt:variant>
        <vt:i4>5</vt:i4>
      </vt:variant>
      <vt:variant>
        <vt:lpwstr/>
      </vt:variant>
      <vt:variant>
        <vt:lpwstr>_Toc149569041</vt:lpwstr>
      </vt:variant>
      <vt:variant>
        <vt:i4>1769534</vt:i4>
      </vt:variant>
      <vt:variant>
        <vt:i4>14</vt:i4>
      </vt:variant>
      <vt:variant>
        <vt:i4>0</vt:i4>
      </vt:variant>
      <vt:variant>
        <vt:i4>5</vt:i4>
      </vt:variant>
      <vt:variant>
        <vt:lpwstr/>
      </vt:variant>
      <vt:variant>
        <vt:lpwstr>_Toc149569040</vt:lpwstr>
      </vt:variant>
      <vt:variant>
        <vt:i4>1835070</vt:i4>
      </vt:variant>
      <vt:variant>
        <vt:i4>11</vt:i4>
      </vt:variant>
      <vt:variant>
        <vt:i4>0</vt:i4>
      </vt:variant>
      <vt:variant>
        <vt:i4>5</vt:i4>
      </vt:variant>
      <vt:variant>
        <vt:lpwstr/>
      </vt:variant>
      <vt:variant>
        <vt:lpwstr>_Toc149569039</vt:lpwstr>
      </vt:variant>
      <vt:variant>
        <vt:i4>1835070</vt:i4>
      </vt:variant>
      <vt:variant>
        <vt:i4>8</vt:i4>
      </vt:variant>
      <vt:variant>
        <vt:i4>0</vt:i4>
      </vt:variant>
      <vt:variant>
        <vt:i4>5</vt:i4>
      </vt:variant>
      <vt:variant>
        <vt:lpwstr/>
      </vt:variant>
      <vt:variant>
        <vt:lpwstr>_Toc149569038</vt:lpwstr>
      </vt:variant>
      <vt:variant>
        <vt:i4>1835070</vt:i4>
      </vt:variant>
      <vt:variant>
        <vt:i4>5</vt:i4>
      </vt:variant>
      <vt:variant>
        <vt:i4>0</vt:i4>
      </vt:variant>
      <vt:variant>
        <vt:i4>5</vt:i4>
      </vt:variant>
      <vt:variant>
        <vt:lpwstr/>
      </vt:variant>
      <vt:variant>
        <vt:lpwstr>_Toc149569037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2023-09-27T18:12:00Z</dcterms:created>
  <dcterms:modified xsi:type="dcterms:W3CDTF">2023-11-03T09:46:00Z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4f5494ab-3adc-49bf-b4c6-adc1c5bcb571</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